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989CD" w14:textId="3BD956B0" w:rsidR="005A7E77" w:rsidRDefault="005A7E77" w:rsidP="005A7E77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5B66D4">
        <w:rPr>
          <w:noProof/>
        </w:rPr>
        <w:drawing>
          <wp:inline distT="0" distB="0" distL="0" distR="0" wp14:anchorId="3F99A2A3" wp14:editId="04012AF3">
            <wp:extent cx="1771650" cy="759279"/>
            <wp:effectExtent l="0" t="0" r="0" b="3175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7070" w14:textId="77777777" w:rsidR="005A7E77" w:rsidRDefault="005A7E77" w:rsidP="005A7E77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B988845" w14:textId="77777777" w:rsidR="00BD66B5" w:rsidRPr="005A7E77" w:rsidRDefault="00856386" w:rsidP="00641F9E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5A7E77">
        <w:rPr>
          <w:rFonts w:ascii="Sylfaen" w:hAnsi="Sylfaen"/>
          <w:b/>
          <w:sz w:val="28"/>
          <w:szCs w:val="28"/>
          <w:lang w:val="ka-GE"/>
        </w:rPr>
        <w:t>საყოველთაო ჯანდაცვის პროგრესი საქართველოში</w:t>
      </w:r>
    </w:p>
    <w:p w14:paraId="63C0B684" w14:textId="600059CC" w:rsidR="00AD593D" w:rsidRPr="007D75DB" w:rsidRDefault="00856386" w:rsidP="00641F9E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 xml:space="preserve">მომზადებულია </w:t>
      </w:r>
      <w:r w:rsidR="00AC0F1D">
        <w:rPr>
          <w:rFonts w:ascii="Sylfaen" w:hAnsi="Sylfaen"/>
          <w:b/>
          <w:sz w:val="24"/>
          <w:szCs w:val="24"/>
          <w:lang w:val="ka-GE"/>
        </w:rPr>
        <w:t>ჯანმრთელობის</w:t>
      </w:r>
      <w:r w:rsidR="00AC0F1D"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მსოფლიო ორგანიზაციის </w:t>
      </w:r>
      <w:r w:rsidR="00AC0F1D">
        <w:rPr>
          <w:rFonts w:ascii="Sylfaen" w:hAnsi="Sylfaen"/>
          <w:b/>
          <w:sz w:val="24"/>
          <w:szCs w:val="24"/>
          <w:lang w:val="ka-GE"/>
        </w:rPr>
        <w:t xml:space="preserve">ჯანდაცვის სისტემის განმტკიცების </w:t>
      </w:r>
      <w:r w:rsidR="00AC0F1D" w:rsidRPr="007D75DB">
        <w:rPr>
          <w:rFonts w:ascii="Sylfaen" w:hAnsi="Sylfaen"/>
          <w:b/>
          <w:sz w:val="24"/>
          <w:szCs w:val="24"/>
          <w:lang w:val="ka-GE"/>
        </w:rPr>
        <w:t>ბარსელონ</w:t>
      </w:r>
      <w:r w:rsidR="00AC0F1D">
        <w:rPr>
          <w:rFonts w:ascii="Sylfaen" w:hAnsi="Sylfaen"/>
          <w:b/>
          <w:sz w:val="24"/>
          <w:szCs w:val="24"/>
          <w:lang w:val="ka-GE"/>
        </w:rPr>
        <w:t>ი</w:t>
      </w:r>
      <w:r w:rsidR="00AC0F1D" w:rsidRPr="007D75DB">
        <w:rPr>
          <w:rFonts w:ascii="Sylfaen" w:hAnsi="Sylfaen"/>
          <w:b/>
          <w:sz w:val="24"/>
          <w:szCs w:val="24"/>
          <w:lang w:val="ka-GE"/>
        </w:rPr>
        <w:t xml:space="preserve">ს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ოფისის მიერ </w:t>
      </w:r>
    </w:p>
    <w:p w14:paraId="51EA2BEB" w14:textId="77777777" w:rsidR="002D0785" w:rsidRDefault="002D0785" w:rsidP="00641F9E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</w:p>
    <w:p w14:paraId="327B8AB1" w14:textId="759AC741" w:rsidR="00005601" w:rsidRPr="007D75DB" w:rsidRDefault="00E47C77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რეზიუმე</w:t>
      </w:r>
    </w:p>
    <w:p w14:paraId="1E30F460" w14:textId="7E8A2C23" w:rsidR="00005601" w:rsidRPr="00E47C77" w:rsidRDefault="00E47C77" w:rsidP="00E47C77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დოკუმენტი მიზნად ისახავს </w:t>
      </w:r>
      <w:r w:rsidRPr="007D75DB">
        <w:rPr>
          <w:rFonts w:ascii="Sylfaen" w:hAnsi="Sylfaen"/>
          <w:sz w:val="24"/>
          <w:szCs w:val="24"/>
          <w:lang w:val="ka-GE"/>
        </w:rPr>
        <w:t>საქართველოში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05601" w:rsidRPr="007D75DB">
        <w:rPr>
          <w:rFonts w:ascii="Sylfaen" w:hAnsi="Sylfaen"/>
          <w:sz w:val="24"/>
          <w:szCs w:val="24"/>
          <w:lang w:val="ka-GE"/>
        </w:rPr>
        <w:t xml:space="preserve">ჯანდაცვის  რეფორმების შედეგების </w:t>
      </w:r>
      <w:r w:rsidR="00D64979">
        <w:rPr>
          <w:rFonts w:ascii="Sylfaen" w:hAnsi="Sylfaen"/>
          <w:sz w:val="24"/>
          <w:szCs w:val="24"/>
          <w:lang w:val="ka-GE"/>
        </w:rPr>
        <w:t>შეჯამება</w:t>
      </w:r>
      <w:r>
        <w:rPr>
          <w:rFonts w:ascii="Sylfaen" w:hAnsi="Sylfaen"/>
          <w:sz w:val="24"/>
          <w:szCs w:val="24"/>
          <w:lang w:val="ka-GE"/>
        </w:rPr>
        <w:t xml:space="preserve">ს </w:t>
      </w:r>
      <w:r w:rsidR="00005601" w:rsidRPr="007D75DB">
        <w:rPr>
          <w:rFonts w:ascii="Sylfaen" w:hAnsi="Sylfaen"/>
          <w:sz w:val="24"/>
          <w:szCs w:val="24"/>
          <w:lang w:val="ka-GE"/>
        </w:rPr>
        <w:t>საყოველთო ჯანდაცვის მიმართულებით განხორციელებული პროგრესის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 ჭრილში</w:t>
      </w:r>
      <w:r w:rsidR="00073AEF">
        <w:rPr>
          <w:rFonts w:ascii="Sylfaen" w:hAnsi="Sylfaen"/>
          <w:sz w:val="24"/>
          <w:szCs w:val="24"/>
        </w:rPr>
        <w:t>.</w:t>
      </w:r>
      <w:r w:rsidR="00005601" w:rsidRPr="007D75D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ასევე, </w:t>
      </w:r>
      <w:r w:rsidR="00005601" w:rsidRPr="00E47C7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005601" w:rsidRPr="00E47C77">
        <w:rPr>
          <w:rFonts w:ascii="Sylfaen" w:hAnsi="Sylfaen"/>
          <w:sz w:val="24"/>
          <w:szCs w:val="24"/>
          <w:lang w:val="ka-GE"/>
        </w:rPr>
        <w:t xml:space="preserve"> </w:t>
      </w:r>
      <w:r w:rsidR="008D6F38" w:rsidRPr="00E47C77">
        <w:rPr>
          <w:rFonts w:ascii="Sylfaen" w:hAnsi="Sylfaen"/>
          <w:sz w:val="24"/>
          <w:szCs w:val="24"/>
          <w:lang w:val="ka-GE"/>
        </w:rPr>
        <w:t xml:space="preserve">რეფორმების ინსტრუმენტების, რეფორმების შედეგებისა და ჯანდაცვაზე დანახარჯების </w:t>
      </w:r>
      <w:r w:rsidR="002D0785" w:rsidRPr="00E47C77">
        <w:rPr>
          <w:rFonts w:ascii="Sylfaen" w:hAnsi="Sylfaen"/>
          <w:sz w:val="24"/>
          <w:szCs w:val="24"/>
          <w:lang w:val="ka-GE"/>
        </w:rPr>
        <w:t>განხილვა საერთაშორისო კონტექსტში</w:t>
      </w:r>
      <w:r w:rsidR="008D6F38" w:rsidRPr="00E47C77">
        <w:rPr>
          <w:rFonts w:ascii="Sylfaen" w:hAnsi="Sylfaen"/>
          <w:sz w:val="24"/>
          <w:szCs w:val="24"/>
          <w:lang w:val="ka-GE"/>
        </w:rPr>
        <w:t>.</w:t>
      </w:r>
      <w:bookmarkStart w:id="0" w:name="_GoBack"/>
      <w:bookmarkEnd w:id="0"/>
    </w:p>
    <w:p w14:paraId="5DC320A0" w14:textId="5F7F6FD0" w:rsidR="008D6F38" w:rsidRPr="007D75DB" w:rsidRDefault="008D6F38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2013 წლიდან </w:t>
      </w:r>
      <w:r w:rsidR="00923D8A">
        <w:rPr>
          <w:rFonts w:ascii="Sylfaen" w:hAnsi="Sylfaen"/>
          <w:sz w:val="24"/>
          <w:szCs w:val="24"/>
          <w:lang w:val="ka-GE"/>
        </w:rPr>
        <w:t xml:space="preserve">დაწყებულმა </w:t>
      </w:r>
      <w:r w:rsidRPr="007D75DB">
        <w:rPr>
          <w:rFonts w:ascii="Sylfaen" w:hAnsi="Sylfaen"/>
          <w:sz w:val="24"/>
          <w:szCs w:val="24"/>
          <w:lang w:val="ka-GE"/>
        </w:rPr>
        <w:t>ძირეულმა რეფორმებ</w:t>
      </w:r>
      <w:r w:rsidR="00CD1A2B">
        <w:rPr>
          <w:rFonts w:ascii="Sylfaen" w:hAnsi="Sylfaen"/>
          <w:sz w:val="24"/>
          <w:szCs w:val="24"/>
          <w:lang w:val="ka-GE"/>
        </w:rPr>
        <w:t>მ</w:t>
      </w:r>
      <w:r w:rsidRPr="007D75DB">
        <w:rPr>
          <w:rFonts w:ascii="Sylfaen" w:hAnsi="Sylfaen"/>
          <w:sz w:val="24"/>
          <w:szCs w:val="24"/>
          <w:lang w:val="ka-GE"/>
        </w:rPr>
        <w:t xml:space="preserve">ა საქართველო დაუახლოვა ევროპულ ნორმებსა და საუკეთესო პრაქტიკას: სახელმწიფოს მიერ ჯანდაცვის სერვისებზე მოსახლეობის </w:t>
      </w:r>
      <w:r w:rsidR="00654B62">
        <w:rPr>
          <w:rFonts w:ascii="Sylfaen" w:hAnsi="Sylfaen"/>
          <w:sz w:val="24"/>
          <w:szCs w:val="24"/>
          <w:lang w:val="ka-GE"/>
        </w:rPr>
        <w:t>უნივერსალურ</w:t>
      </w:r>
      <w:r w:rsidR="00923D8A">
        <w:rPr>
          <w:rFonts w:ascii="Sylfaen" w:hAnsi="Sylfaen"/>
          <w:sz w:val="24"/>
          <w:szCs w:val="24"/>
          <w:lang w:val="ka-GE"/>
        </w:rPr>
        <w:t xml:space="preserve">ი ხელმისაწვდომობის </w:t>
      </w:r>
      <w:r w:rsidRPr="00654B62">
        <w:rPr>
          <w:rFonts w:ascii="Sylfaen" w:hAnsi="Sylfaen"/>
          <w:sz w:val="24"/>
          <w:szCs w:val="24"/>
          <w:lang w:val="ka-GE"/>
        </w:rPr>
        <w:t>უფლება</w:t>
      </w:r>
      <w:r w:rsidRPr="007D75DB">
        <w:rPr>
          <w:rFonts w:ascii="Sylfaen" w:hAnsi="Sylfaen"/>
          <w:sz w:val="24"/>
          <w:szCs w:val="24"/>
          <w:lang w:val="ka-GE"/>
        </w:rPr>
        <w:t xml:space="preserve">, </w:t>
      </w:r>
      <w:r w:rsidR="00923D8A">
        <w:rPr>
          <w:rFonts w:ascii="Sylfaen" w:hAnsi="Sylfaen"/>
          <w:sz w:val="24"/>
          <w:szCs w:val="24"/>
          <w:lang w:val="ka-GE"/>
        </w:rPr>
        <w:t xml:space="preserve">ოჯახის ექიმთან ვიზიტები უფასოდ, რეფერალი და რეცეპტის სისტემა, </w:t>
      </w:r>
      <w:r w:rsidRPr="007D75DB">
        <w:rPr>
          <w:rFonts w:ascii="Sylfaen" w:hAnsi="Sylfaen"/>
          <w:sz w:val="24"/>
          <w:szCs w:val="24"/>
          <w:lang w:val="ka-GE"/>
        </w:rPr>
        <w:t>ერთი შემსყიდველი</w:t>
      </w:r>
      <w:r w:rsidR="000E2551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სააგენტო; </w:t>
      </w:r>
      <w:r w:rsidR="00CD1A2B">
        <w:rPr>
          <w:rFonts w:ascii="Sylfaen" w:hAnsi="Sylfaen"/>
          <w:sz w:val="24"/>
          <w:szCs w:val="24"/>
          <w:lang w:val="ka-GE"/>
        </w:rPr>
        <w:t>გაზრდილი</w:t>
      </w:r>
      <w:r w:rsidRPr="007D75DB">
        <w:rPr>
          <w:rFonts w:ascii="Sylfaen" w:hAnsi="Sylfaen"/>
          <w:sz w:val="24"/>
          <w:szCs w:val="24"/>
          <w:lang w:val="ka-GE"/>
        </w:rPr>
        <w:t xml:space="preserve"> სახელმწიფო დანახარჯები</w:t>
      </w:r>
      <w:r w:rsidR="00CD1A2B">
        <w:rPr>
          <w:rFonts w:ascii="Sylfaen" w:hAnsi="Sylfaen"/>
          <w:sz w:val="24"/>
          <w:szCs w:val="24"/>
          <w:lang w:val="ka-GE"/>
        </w:rPr>
        <w:t xml:space="preserve"> </w:t>
      </w:r>
      <w:r w:rsidR="00CD1A2B" w:rsidRPr="007D75DB">
        <w:rPr>
          <w:rFonts w:ascii="Sylfaen" w:hAnsi="Sylfaen"/>
          <w:sz w:val="24"/>
          <w:szCs w:val="24"/>
          <w:lang w:val="ka-GE"/>
        </w:rPr>
        <w:t>ჯანდაცვაზე</w:t>
      </w:r>
      <w:r w:rsidRPr="007D75DB">
        <w:rPr>
          <w:rFonts w:ascii="Sylfaen" w:hAnsi="Sylfaen"/>
          <w:sz w:val="24"/>
          <w:szCs w:val="24"/>
          <w:lang w:val="ka-GE"/>
        </w:rPr>
        <w:t>.</w:t>
      </w:r>
    </w:p>
    <w:p w14:paraId="21C77BC2" w14:textId="58153639" w:rsidR="008D6F38" w:rsidRPr="007D75DB" w:rsidRDefault="004E157F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>ხელმისაწვდომი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 მტკიცებულებები აჩვენებს საყოველთ</w:t>
      </w:r>
      <w:r w:rsidR="00073AEF">
        <w:rPr>
          <w:rFonts w:ascii="Sylfaen" w:hAnsi="Sylfaen"/>
          <w:sz w:val="24"/>
          <w:szCs w:val="24"/>
          <w:lang w:val="ka-GE"/>
        </w:rPr>
        <w:t>ა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ო ჯანდაცვის </w:t>
      </w:r>
      <w:r w:rsidR="00923D8A">
        <w:rPr>
          <w:rFonts w:ascii="Sylfaen" w:hAnsi="Sylfaen"/>
          <w:sz w:val="24"/>
          <w:szCs w:val="24"/>
          <w:lang w:val="ka-GE"/>
        </w:rPr>
        <w:t>პროგრამის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 პროგრესს. </w:t>
      </w:r>
      <w:r w:rsidR="00923D8A">
        <w:rPr>
          <w:rFonts w:ascii="Sylfaen" w:hAnsi="Sylfaen"/>
          <w:sz w:val="24"/>
          <w:szCs w:val="24"/>
          <w:lang w:val="ka-GE"/>
        </w:rPr>
        <w:t>სამედიცინო სერვისების მო</w:t>
      </w:r>
      <w:r w:rsidR="009E7A07">
        <w:rPr>
          <w:rFonts w:ascii="Sylfaen" w:hAnsi="Sylfaen"/>
          <w:sz w:val="24"/>
          <w:szCs w:val="24"/>
          <w:lang w:val="ka-GE"/>
        </w:rPr>
        <w:t>ხ</w:t>
      </w:r>
      <w:r w:rsidR="00923D8A">
        <w:rPr>
          <w:rFonts w:ascii="Sylfaen" w:hAnsi="Sylfaen"/>
          <w:sz w:val="24"/>
          <w:szCs w:val="24"/>
          <w:lang w:val="ka-GE"/>
        </w:rPr>
        <w:t xml:space="preserve">მარება </w:t>
      </w:r>
      <w:r w:rsidR="008D6F38" w:rsidRPr="007D75DB">
        <w:rPr>
          <w:rFonts w:ascii="Sylfaen" w:hAnsi="Sylfaen"/>
          <w:sz w:val="24"/>
          <w:szCs w:val="24"/>
          <w:lang w:val="ka-GE"/>
        </w:rPr>
        <w:t>გაიზარდა</w:t>
      </w:r>
      <w:r w:rsidR="00923D8A">
        <w:rPr>
          <w:rFonts w:ascii="Sylfaen" w:hAnsi="Sylfaen"/>
          <w:sz w:val="24"/>
          <w:szCs w:val="24"/>
          <w:lang w:val="ka-GE"/>
        </w:rPr>
        <w:t xml:space="preserve"> განსაკუთრებით გადაუდებელ და ჰოსპიტალურ სერვ</w:t>
      </w:r>
      <w:r w:rsidR="009E7A07">
        <w:rPr>
          <w:rFonts w:ascii="Sylfaen" w:hAnsi="Sylfaen"/>
          <w:sz w:val="24"/>
          <w:szCs w:val="24"/>
          <w:lang w:val="ka-GE"/>
        </w:rPr>
        <w:t>ი</w:t>
      </w:r>
      <w:r w:rsidR="00923D8A">
        <w:rPr>
          <w:rFonts w:ascii="Sylfaen" w:hAnsi="Sylfaen"/>
          <w:sz w:val="24"/>
          <w:szCs w:val="24"/>
          <w:lang w:val="ka-GE"/>
        </w:rPr>
        <w:t>სებზე</w:t>
      </w:r>
      <w:r w:rsidR="008D6F38" w:rsidRPr="007D75DB">
        <w:rPr>
          <w:rFonts w:ascii="Sylfaen" w:hAnsi="Sylfaen"/>
          <w:sz w:val="24"/>
          <w:szCs w:val="24"/>
          <w:lang w:val="ka-GE"/>
        </w:rPr>
        <w:t>, ფ</w:t>
      </w:r>
      <w:r w:rsidR="000E2551" w:rsidRPr="007D75DB">
        <w:rPr>
          <w:rFonts w:ascii="Sylfaen" w:hAnsi="Sylfaen"/>
          <w:sz w:val="24"/>
          <w:szCs w:val="24"/>
          <w:lang w:val="ka-GE"/>
        </w:rPr>
        <w:t>ი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ნანსური ბარიერები შემცირდა და </w:t>
      </w:r>
      <w:r w:rsidR="00923D8A">
        <w:rPr>
          <w:rFonts w:ascii="Sylfaen" w:hAnsi="Sylfaen"/>
          <w:sz w:val="24"/>
          <w:szCs w:val="24"/>
          <w:lang w:val="ka-GE"/>
        </w:rPr>
        <w:t>მოსახლეობის</w:t>
      </w:r>
      <w:r w:rsidR="008D6F38" w:rsidRPr="007D75DB">
        <w:rPr>
          <w:rFonts w:ascii="Sylfaen" w:hAnsi="Sylfaen"/>
          <w:sz w:val="24"/>
          <w:szCs w:val="24"/>
          <w:lang w:val="ka-GE"/>
        </w:rPr>
        <w:t xml:space="preserve"> ფინანსური დაცულობა გაუმჯობესდა.</w:t>
      </w:r>
      <w:r w:rsidR="000E2551" w:rsidRPr="007D75DB">
        <w:rPr>
          <w:rFonts w:ascii="Sylfaen" w:hAnsi="Sylfaen"/>
          <w:sz w:val="24"/>
          <w:szCs w:val="24"/>
          <w:lang w:val="ka-GE"/>
        </w:rPr>
        <w:t xml:space="preserve"> მოსახლეობის </w:t>
      </w:r>
      <w:r w:rsidR="007B0F6D" w:rsidRPr="007D75DB">
        <w:rPr>
          <w:rFonts w:ascii="Sylfaen" w:hAnsi="Sylfaen"/>
          <w:sz w:val="24"/>
          <w:szCs w:val="24"/>
          <w:lang w:val="ka-GE"/>
        </w:rPr>
        <w:t>მოც</w:t>
      </w:r>
      <w:r w:rsidR="000E2551" w:rsidRPr="007D75DB">
        <w:rPr>
          <w:rFonts w:ascii="Sylfaen" w:hAnsi="Sylfaen"/>
          <w:sz w:val="24"/>
          <w:szCs w:val="24"/>
          <w:lang w:val="ka-GE"/>
        </w:rPr>
        <w:t xml:space="preserve">ვისა და სერვისების მიწოდების ზრდა </w:t>
      </w:r>
      <w:r w:rsidR="00923D8A">
        <w:rPr>
          <w:rFonts w:ascii="Sylfaen" w:hAnsi="Sylfaen"/>
          <w:sz w:val="24"/>
          <w:szCs w:val="24"/>
          <w:lang w:val="ka-GE"/>
        </w:rPr>
        <w:t xml:space="preserve">განხორციელდა </w:t>
      </w:r>
      <w:r w:rsidR="000E2551" w:rsidRPr="007D75DB">
        <w:rPr>
          <w:rFonts w:ascii="Sylfaen" w:hAnsi="Sylfaen"/>
          <w:sz w:val="24"/>
          <w:szCs w:val="24"/>
          <w:lang w:val="ka-GE"/>
        </w:rPr>
        <w:t>ხარჯთეფექტური გზით.</w:t>
      </w:r>
    </w:p>
    <w:p w14:paraId="7CE38EF3" w14:textId="30D6FE23" w:rsidR="000E2551" w:rsidRPr="007D75DB" w:rsidRDefault="00923D8A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მიუხედავად საყოველთაო ჯანდაცვის პროგრამის წარმატებისა, ევროპის რეგიონის სხვა ქვეყნებთან შედარებით, </w:t>
      </w:r>
      <w:r w:rsidR="0038606A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>
        <w:rPr>
          <w:rFonts w:ascii="Sylfaen" w:hAnsi="Sylfaen"/>
          <w:sz w:val="24"/>
          <w:szCs w:val="24"/>
          <w:lang w:val="ka-GE"/>
        </w:rPr>
        <w:t>კვლავ დაბალი</w:t>
      </w:r>
      <w:r w:rsidR="0038606A">
        <w:rPr>
          <w:rFonts w:ascii="Sylfaen" w:hAnsi="Sylfaen"/>
          <w:sz w:val="24"/>
          <w:szCs w:val="24"/>
          <w:lang w:val="ka-GE"/>
        </w:rPr>
        <w:t xml:space="preserve"> რჩება</w:t>
      </w:r>
      <w:r>
        <w:rPr>
          <w:rFonts w:ascii="Sylfaen" w:hAnsi="Sylfaen"/>
          <w:sz w:val="24"/>
          <w:szCs w:val="24"/>
          <w:lang w:val="ka-GE"/>
        </w:rPr>
        <w:t xml:space="preserve"> სერვისების უტილიზაცია. </w:t>
      </w:r>
      <w:r w:rsidR="000E2551" w:rsidRPr="007D75DB">
        <w:rPr>
          <w:rFonts w:ascii="Sylfaen" w:hAnsi="Sylfaen"/>
          <w:sz w:val="24"/>
          <w:szCs w:val="24"/>
          <w:lang w:val="ka-GE"/>
        </w:rPr>
        <w:t>ჯანდაცვაზე სახელმწიფო დანახარჯები</w:t>
      </w:r>
      <w:r>
        <w:rPr>
          <w:rFonts w:ascii="Sylfaen" w:hAnsi="Sylfaen"/>
          <w:sz w:val="24"/>
          <w:szCs w:val="24"/>
          <w:lang w:val="ka-GE"/>
        </w:rPr>
        <w:t>ს მნიშვნელოვანი ზრდის მიუხედავად, იგი კვლავ ჩამორჩება საშუალოზე მაღალი განვი</w:t>
      </w:r>
      <w:r w:rsidR="0038606A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არების ქვეყნების მაჩვენებლებს. </w:t>
      </w:r>
      <w:r w:rsidR="000E2551" w:rsidRPr="007D75DB">
        <w:rPr>
          <w:rFonts w:ascii="Sylfaen" w:hAnsi="Sylfaen"/>
          <w:sz w:val="24"/>
          <w:szCs w:val="24"/>
          <w:lang w:val="ka-GE"/>
        </w:rPr>
        <w:t xml:space="preserve"> </w:t>
      </w:r>
    </w:p>
    <w:p w14:paraId="065B6277" w14:textId="7C9E69EF" w:rsidR="0038606A" w:rsidRDefault="000E2551" w:rsidP="0038606A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ჯანდაცვაზე ხელმისაწვდომობის </w:t>
      </w:r>
      <w:r w:rsidR="004D7EDB" w:rsidRPr="007D75DB">
        <w:rPr>
          <w:rFonts w:ascii="Sylfaen" w:hAnsi="Sylfaen"/>
          <w:sz w:val="24"/>
          <w:szCs w:val="24"/>
          <w:lang w:val="ka-GE"/>
        </w:rPr>
        <w:t>გა</w:t>
      </w:r>
      <w:r w:rsidRPr="007D75DB">
        <w:rPr>
          <w:rFonts w:ascii="Sylfaen" w:hAnsi="Sylfaen"/>
          <w:sz w:val="24"/>
          <w:szCs w:val="24"/>
          <w:lang w:val="ka-GE"/>
        </w:rPr>
        <w:t xml:space="preserve">უმჯობესება და მოსახლეობის ფინანსური დაცულობა კომპლექსურ მიდგომას მოითხოვს, რაც 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მოიცავს ამბულატორიული </w:t>
      </w:r>
      <w:r w:rsidR="0038606A" w:rsidRPr="007D75DB">
        <w:rPr>
          <w:rFonts w:ascii="Sylfaen" w:hAnsi="Sylfaen"/>
          <w:sz w:val="24"/>
          <w:szCs w:val="24"/>
          <w:lang w:val="ka-GE"/>
        </w:rPr>
        <w:t>მედიკამენტები</w:t>
      </w:r>
      <w:r w:rsidR="0038606A">
        <w:rPr>
          <w:rFonts w:ascii="Sylfaen" w:hAnsi="Sylfaen"/>
          <w:sz w:val="24"/>
          <w:szCs w:val="24"/>
          <w:lang w:val="ka-GE"/>
        </w:rPr>
        <w:t>თ</w:t>
      </w:r>
      <w:r w:rsidR="0038606A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B0F6D" w:rsidRPr="007D75DB">
        <w:rPr>
          <w:rFonts w:ascii="Sylfaen" w:hAnsi="Sylfaen"/>
          <w:sz w:val="24"/>
          <w:szCs w:val="24"/>
          <w:lang w:val="ka-GE"/>
        </w:rPr>
        <w:t>მოც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ვას, ღარიბი </w:t>
      </w:r>
      <w:r w:rsidR="0038606A">
        <w:rPr>
          <w:rFonts w:ascii="Sylfaen" w:hAnsi="Sylfaen"/>
          <w:sz w:val="24"/>
          <w:szCs w:val="24"/>
          <w:lang w:val="ka-GE"/>
        </w:rPr>
        <w:t xml:space="preserve">მოსახლეობის 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და </w:t>
      </w:r>
      <w:r w:rsidR="0038606A">
        <w:rPr>
          <w:rFonts w:ascii="Sylfaen" w:hAnsi="Sylfaen"/>
          <w:sz w:val="24"/>
          <w:szCs w:val="24"/>
          <w:lang w:val="ka-GE"/>
        </w:rPr>
        <w:t xml:space="preserve">ქრონიკული დაავადებების </w:t>
      </w:r>
      <w:r w:rsidR="0038606A">
        <w:rPr>
          <w:rFonts w:ascii="Sylfaen" w:hAnsi="Sylfaen"/>
          <w:sz w:val="24"/>
          <w:szCs w:val="24"/>
          <w:lang w:val="ka-GE"/>
        </w:rPr>
        <w:lastRenderedPageBreak/>
        <w:t>მქონე პაციენტების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38606A">
        <w:rPr>
          <w:rFonts w:ascii="Sylfaen" w:hAnsi="Sylfaen"/>
          <w:sz w:val="24"/>
          <w:szCs w:val="24"/>
          <w:lang w:val="ka-GE"/>
        </w:rPr>
        <w:t>ფინანსური რისკებისაგან დაცვის</w:t>
      </w:r>
      <w:r w:rsidR="0038606A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4D7EDB" w:rsidRPr="007D75DB">
        <w:rPr>
          <w:rFonts w:ascii="Sylfaen" w:hAnsi="Sylfaen"/>
          <w:sz w:val="24"/>
          <w:szCs w:val="24"/>
          <w:lang w:val="ka-GE"/>
        </w:rPr>
        <w:t>პოლიტიკ</w:t>
      </w:r>
      <w:r w:rsidR="00441871">
        <w:rPr>
          <w:rFonts w:ascii="Sylfaen" w:hAnsi="Sylfaen"/>
          <w:sz w:val="24"/>
          <w:szCs w:val="24"/>
          <w:lang w:val="ka-GE"/>
        </w:rPr>
        <w:t>ის გატარებასა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38606A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და აქტიურ შესყიდვაზე ფოკუსირებას, რათა უზრუნველყოფილ იქნას </w:t>
      </w:r>
      <w:r w:rsidR="0038606A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4D7EDB" w:rsidRPr="007D75DB">
        <w:rPr>
          <w:rFonts w:ascii="Sylfaen" w:hAnsi="Sylfaen"/>
          <w:sz w:val="24"/>
          <w:szCs w:val="24"/>
          <w:lang w:val="ka-GE"/>
        </w:rPr>
        <w:t xml:space="preserve">რესურსების მაქსიმალურად </w:t>
      </w:r>
      <w:r w:rsidR="0038606A" w:rsidRPr="007D75DB">
        <w:rPr>
          <w:rFonts w:ascii="Sylfaen" w:hAnsi="Sylfaen"/>
          <w:sz w:val="24"/>
          <w:szCs w:val="24"/>
          <w:lang w:val="ka-GE"/>
        </w:rPr>
        <w:t>ეფექტიან</w:t>
      </w:r>
      <w:r w:rsidR="0038606A">
        <w:rPr>
          <w:rFonts w:ascii="Sylfaen" w:hAnsi="Sylfaen"/>
          <w:sz w:val="24"/>
          <w:szCs w:val="24"/>
          <w:lang w:val="ka-GE"/>
        </w:rPr>
        <w:t>ი</w:t>
      </w:r>
      <w:r w:rsidR="0038606A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4D7EDB" w:rsidRPr="007D75DB">
        <w:rPr>
          <w:rFonts w:ascii="Sylfaen" w:hAnsi="Sylfaen"/>
          <w:sz w:val="24"/>
          <w:szCs w:val="24"/>
          <w:lang w:val="ka-GE"/>
        </w:rPr>
        <w:t>გამოყენება.</w:t>
      </w:r>
    </w:p>
    <w:p w14:paraId="7B11CE3F" w14:textId="77777777" w:rsidR="00073AEF" w:rsidRDefault="0038606A" w:rsidP="0009429F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ჯანდაცვაზე დაბალი სახელმწიფო დანახარჯების გამო, </w:t>
      </w:r>
      <w:r w:rsidR="000C5310" w:rsidRPr="0038606A">
        <w:rPr>
          <w:rFonts w:ascii="Sylfaen" w:hAnsi="Sylfaen" w:cs="Sylfaen"/>
          <w:sz w:val="24"/>
          <w:szCs w:val="24"/>
          <w:lang w:val="ka-GE"/>
        </w:rPr>
        <w:t>რთული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იქნება </w:t>
      </w:r>
      <w:r w:rsidRPr="0038606A">
        <w:rPr>
          <w:rFonts w:ascii="Sylfaen" w:hAnsi="Sylfaen"/>
          <w:sz w:val="24"/>
          <w:szCs w:val="24"/>
          <w:lang w:val="ka-GE"/>
        </w:rPr>
        <w:t>ჯანდაცვის სისტემაში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C5310" w:rsidRPr="0038606A">
        <w:rPr>
          <w:rFonts w:ascii="Sylfaen" w:hAnsi="Sylfaen"/>
          <w:sz w:val="24"/>
          <w:szCs w:val="24"/>
          <w:lang w:val="ka-GE"/>
        </w:rPr>
        <w:t>საგრძნობი პროგრესის მიღწევა</w:t>
      </w:r>
      <w:r>
        <w:rPr>
          <w:rFonts w:ascii="Sylfaen" w:hAnsi="Sylfaen"/>
          <w:sz w:val="24"/>
          <w:szCs w:val="24"/>
          <w:lang w:val="ka-GE"/>
        </w:rPr>
        <w:t>,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დამატებითი</w:t>
      </w:r>
      <w:r w:rsidRPr="0038606A">
        <w:rPr>
          <w:rFonts w:ascii="Sylfaen" w:hAnsi="Sylfaen"/>
          <w:sz w:val="24"/>
          <w:szCs w:val="24"/>
          <w:lang w:val="ka-GE"/>
        </w:rPr>
        <w:t xml:space="preserve"> 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სახელმწიფო ინვესტირების გარეშე. ჯანდაცვის სისტემა უნდა </w:t>
      </w:r>
      <w:r w:rsidR="00441871" w:rsidRPr="0038606A">
        <w:rPr>
          <w:rFonts w:ascii="Sylfaen" w:hAnsi="Sylfaen"/>
          <w:sz w:val="24"/>
          <w:szCs w:val="24"/>
          <w:lang w:val="ka-GE"/>
        </w:rPr>
        <w:t>ეცადოს საკუთარი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რესურსები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უფრო ეფექტიანად </w:t>
      </w:r>
      <w:r>
        <w:rPr>
          <w:rFonts w:ascii="Sylfaen" w:hAnsi="Sylfaen"/>
          <w:sz w:val="24"/>
          <w:szCs w:val="24"/>
          <w:lang w:val="ka-GE"/>
        </w:rPr>
        <w:t xml:space="preserve">გამოყენებას. თუმცა, </w:t>
      </w:r>
      <w:r w:rsidR="000C5310" w:rsidRPr="0038606A">
        <w:rPr>
          <w:rFonts w:ascii="Sylfaen" w:hAnsi="Sylfaen"/>
          <w:sz w:val="24"/>
          <w:szCs w:val="24"/>
          <w:lang w:val="ka-GE"/>
        </w:rPr>
        <w:t>ეფექტიანობ</w:t>
      </w:r>
      <w:r w:rsidR="00E73EA0" w:rsidRPr="0038606A">
        <w:rPr>
          <w:rFonts w:ascii="Sylfaen" w:hAnsi="Sylfaen"/>
          <w:sz w:val="24"/>
          <w:szCs w:val="24"/>
          <w:lang w:val="ka-GE"/>
        </w:rPr>
        <w:t xml:space="preserve">ის </w:t>
      </w:r>
      <w:r w:rsidR="00FC3A10" w:rsidRPr="0038606A">
        <w:rPr>
          <w:rFonts w:ascii="Sylfaen" w:hAnsi="Sylfaen"/>
          <w:sz w:val="24"/>
          <w:szCs w:val="24"/>
          <w:lang w:val="ka-GE"/>
        </w:rPr>
        <w:t>მიღწევა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ხშირად დამატებით ინვესტირებას</w:t>
      </w:r>
      <w:r w:rsidR="00E73EA0" w:rsidRPr="0038606A">
        <w:rPr>
          <w:rFonts w:ascii="Sylfaen" w:hAnsi="Sylfaen"/>
          <w:sz w:val="24"/>
          <w:szCs w:val="24"/>
          <w:lang w:val="ka-GE"/>
        </w:rPr>
        <w:t>, შესაძლებლობებსა და დროს</w:t>
      </w:r>
      <w:r w:rsidR="000C5310" w:rsidRPr="0038606A">
        <w:rPr>
          <w:rFonts w:ascii="Sylfaen" w:hAnsi="Sylfaen"/>
          <w:sz w:val="24"/>
          <w:szCs w:val="24"/>
          <w:lang w:val="ka-GE"/>
        </w:rPr>
        <w:t xml:space="preserve"> მოითხოვს</w:t>
      </w:r>
      <w:r w:rsidR="00FC3A10" w:rsidRPr="0038606A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დაფინანსების ქრონიკული ნაკლებობა, თავისთავად, არის არაეფექტიანობის ერთ-ერთი მიზეზი. </w:t>
      </w:r>
    </w:p>
    <w:p w14:paraId="23CF19BE" w14:textId="752248BC" w:rsidR="0038606A" w:rsidRPr="0038606A" w:rsidRDefault="0038606A" w:rsidP="0009429F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საქართველოში ჯანდაცვაზე სახელმწიფო დანახარჯების წილი </w:t>
      </w:r>
      <w:r w:rsidR="0009429F">
        <w:rPr>
          <w:rFonts w:ascii="Sylfaen" w:hAnsi="Sylfaen" w:cs="Sylfaen"/>
          <w:sz w:val="24"/>
          <w:szCs w:val="24"/>
          <w:lang w:val="ka-GE"/>
        </w:rPr>
        <w:t xml:space="preserve">დაბალია ვიდრე ევროპის რეგიონის სხვა ქვეყნებში, აზერბაიჯნის გარდა. </w:t>
      </w:r>
      <w:r w:rsidR="0009429F" w:rsidRPr="0009429F">
        <w:rPr>
          <w:rFonts w:ascii="Sylfaen" w:hAnsi="Sylfaen" w:cs="Sylfaen"/>
          <w:sz w:val="24"/>
          <w:szCs w:val="24"/>
          <w:lang w:val="ka-GE"/>
        </w:rPr>
        <w:t>სახელმწიფო ბიუჯეტში ჯანდაცვის პრიორიტეტულობის გაზრდა წარმოადგენს პოლიტიკურ არ</w:t>
      </w:r>
      <w:r w:rsidR="0009429F">
        <w:rPr>
          <w:rFonts w:ascii="Sylfaen" w:hAnsi="Sylfaen" w:cs="Sylfaen"/>
          <w:sz w:val="24"/>
          <w:szCs w:val="24"/>
          <w:lang w:val="ka-GE"/>
        </w:rPr>
        <w:t>ჩ</w:t>
      </w:r>
      <w:r w:rsidR="0009429F" w:rsidRPr="0009429F">
        <w:rPr>
          <w:rFonts w:ascii="Sylfaen" w:hAnsi="Sylfaen" w:cs="Sylfaen"/>
          <w:sz w:val="24"/>
          <w:szCs w:val="24"/>
          <w:lang w:val="ka-GE"/>
        </w:rPr>
        <w:t>ევანს. ამ არ</w:t>
      </w:r>
      <w:r w:rsidR="0009429F">
        <w:rPr>
          <w:rFonts w:ascii="Sylfaen" w:hAnsi="Sylfaen" w:cs="Sylfaen"/>
          <w:sz w:val="24"/>
          <w:szCs w:val="24"/>
          <w:lang w:val="ka-GE"/>
        </w:rPr>
        <w:t>ჩ</w:t>
      </w:r>
      <w:r w:rsidR="0009429F" w:rsidRPr="0009429F">
        <w:rPr>
          <w:rFonts w:ascii="Sylfaen" w:hAnsi="Sylfaen" w:cs="Sylfaen"/>
          <w:sz w:val="24"/>
          <w:szCs w:val="24"/>
          <w:lang w:val="ka-GE"/>
        </w:rPr>
        <w:t xml:space="preserve">ევანის </w:t>
      </w:r>
      <w:r w:rsidR="0009429F">
        <w:rPr>
          <w:rFonts w:ascii="Sylfaen" w:hAnsi="Sylfaen" w:cs="Sylfaen"/>
          <w:sz w:val="24"/>
          <w:szCs w:val="24"/>
          <w:lang w:val="ka-GE"/>
        </w:rPr>
        <w:t>განხორციელებას შედეგად მოჰყვება</w:t>
      </w:r>
      <w:r w:rsidR="0009429F" w:rsidRPr="0009429F">
        <w:rPr>
          <w:rFonts w:ascii="Sylfaen" w:hAnsi="Sylfaen" w:cs="Sylfaen"/>
          <w:sz w:val="24"/>
          <w:szCs w:val="24"/>
          <w:lang w:val="ka-GE"/>
        </w:rPr>
        <w:t xml:space="preserve"> საშუალო შემოსავლების ქვეყნებსა და საქართველოს ჯანდაცვის სისტემის სახელმწიფო დაფინანსებას შორის არსებული განსხვავების შემცირება და  ჯანდაცვის სისტემის ეფექტიანობის ასამაღლებლად</w:t>
      </w:r>
      <w:r w:rsidR="0009429F">
        <w:rPr>
          <w:rFonts w:ascii="Sylfaen" w:hAnsi="Sylfaen" w:cs="Sylfaen"/>
          <w:sz w:val="24"/>
          <w:szCs w:val="24"/>
          <w:lang w:val="ka-GE"/>
        </w:rPr>
        <w:t xml:space="preserve"> მეტი </w:t>
      </w:r>
      <w:r w:rsidR="0009429F" w:rsidRPr="0009429F">
        <w:rPr>
          <w:rFonts w:ascii="Sylfaen" w:hAnsi="Sylfaen" w:cs="Sylfaen"/>
          <w:sz w:val="24"/>
          <w:szCs w:val="24"/>
          <w:lang w:val="ka-GE"/>
        </w:rPr>
        <w:t>რესურსები</w:t>
      </w:r>
      <w:r w:rsidR="0009429F">
        <w:rPr>
          <w:rFonts w:ascii="Sylfaen" w:hAnsi="Sylfaen" w:cs="Sylfaen"/>
          <w:sz w:val="24"/>
          <w:szCs w:val="24"/>
          <w:lang w:val="ka-GE"/>
        </w:rPr>
        <w:t>ს მობილიზება.</w:t>
      </w:r>
    </w:p>
    <w:p w14:paraId="478CBA99" w14:textId="77777777" w:rsidR="00FC3A10" w:rsidRDefault="00FC3A10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50AAF9F2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4A439B5F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1EAC58EA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54DBD4D6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1080E8B1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3C6B84B3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03CE9BED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28407EDC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4D4F7465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7C31228D" w14:textId="77777777" w:rsidR="00A50423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72151022" w14:textId="77777777" w:rsidR="00A50423" w:rsidRPr="007D75DB" w:rsidRDefault="00A50423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14:paraId="7CDF4CD4" w14:textId="3005BC20" w:rsidR="004D7EDB" w:rsidRPr="0009429F" w:rsidRDefault="0009429F" w:rsidP="0009429F">
      <w:pPr>
        <w:pStyle w:val="ListParagraph"/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ქვეყანაში </w:t>
      </w:r>
      <w:r w:rsidR="00FC3A10">
        <w:rPr>
          <w:rFonts w:ascii="Sylfaen" w:hAnsi="Sylfaen" w:cs="Sylfaen"/>
          <w:b/>
          <w:sz w:val="24"/>
          <w:szCs w:val="24"/>
          <w:lang w:val="ka-GE"/>
        </w:rPr>
        <w:t>მიმდინარე</w:t>
      </w:r>
      <w:r w:rsidR="00E73EA0" w:rsidRPr="0009429F">
        <w:rPr>
          <w:rFonts w:ascii="Sylfaen" w:hAnsi="Sylfaen"/>
          <w:b/>
          <w:sz w:val="24"/>
          <w:szCs w:val="24"/>
          <w:lang w:val="ka-GE"/>
        </w:rPr>
        <w:t xml:space="preserve"> რეფორმები ჯანდაცვის სისტემას უფრო აახლოებს ევროპულ ნორმებთან და საუკეთესო პრაქტ</w:t>
      </w:r>
      <w:r w:rsidR="00441871" w:rsidRPr="0009429F">
        <w:rPr>
          <w:rFonts w:ascii="Sylfaen" w:hAnsi="Sylfaen"/>
          <w:b/>
          <w:sz w:val="24"/>
          <w:szCs w:val="24"/>
          <w:lang w:val="ka-GE"/>
        </w:rPr>
        <w:t>ი</w:t>
      </w:r>
      <w:r w:rsidR="00E73EA0" w:rsidRPr="0009429F">
        <w:rPr>
          <w:rFonts w:ascii="Sylfaen" w:hAnsi="Sylfaen"/>
          <w:b/>
          <w:sz w:val="24"/>
          <w:szCs w:val="24"/>
          <w:lang w:val="ka-GE"/>
        </w:rPr>
        <w:t>კასთან</w:t>
      </w:r>
    </w:p>
    <w:p w14:paraId="1D936BA3" w14:textId="1F2D5501" w:rsidR="00E73EA0" w:rsidRPr="007D75DB" w:rsidRDefault="00E73EA0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 xml:space="preserve">მოსახლეობის </w:t>
      </w:r>
      <w:r w:rsidR="0009429F">
        <w:rPr>
          <w:rFonts w:ascii="Sylfaen" w:hAnsi="Sylfaen"/>
          <w:b/>
          <w:sz w:val="24"/>
          <w:szCs w:val="24"/>
          <w:lang w:val="ka-GE"/>
        </w:rPr>
        <w:t xml:space="preserve">ჯანმრთელობის </w:t>
      </w:r>
      <w:r w:rsidRPr="00654B62">
        <w:rPr>
          <w:rFonts w:ascii="Sylfaen" w:hAnsi="Sylfaen"/>
          <w:b/>
          <w:sz w:val="24"/>
          <w:szCs w:val="24"/>
          <w:lang w:val="ka-GE"/>
        </w:rPr>
        <w:t xml:space="preserve">უფლება: </w:t>
      </w:r>
      <w:r w:rsidRPr="00654B62">
        <w:rPr>
          <w:rFonts w:ascii="Sylfaen" w:hAnsi="Sylfaen"/>
          <w:sz w:val="24"/>
          <w:szCs w:val="24"/>
          <w:lang w:val="ka-GE"/>
        </w:rPr>
        <w:t>სახელმწიფოს მიერ დაფინანსებულ სერვისებზე</w:t>
      </w:r>
      <w:r w:rsidRPr="00654B6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9429F">
        <w:rPr>
          <w:rFonts w:ascii="Sylfaen" w:hAnsi="Sylfaen"/>
          <w:sz w:val="24"/>
          <w:szCs w:val="24"/>
          <w:lang w:val="ka-GE"/>
        </w:rPr>
        <w:t>მოსახლეობის</w:t>
      </w:r>
      <w:r w:rsidR="0009429F" w:rsidRPr="00654B62">
        <w:rPr>
          <w:rFonts w:ascii="Sylfaen" w:hAnsi="Sylfaen"/>
          <w:sz w:val="24"/>
          <w:szCs w:val="24"/>
          <w:lang w:val="ka-GE"/>
        </w:rPr>
        <w:t xml:space="preserve"> </w:t>
      </w:r>
      <w:r w:rsidRPr="00654B62">
        <w:rPr>
          <w:rFonts w:ascii="Sylfaen" w:hAnsi="Sylfaen"/>
          <w:sz w:val="24"/>
          <w:szCs w:val="24"/>
          <w:lang w:val="ka-GE"/>
        </w:rPr>
        <w:t>უმრავლესობის</w:t>
      </w:r>
      <w:r w:rsidR="006040E7" w:rsidRPr="00654B62">
        <w:rPr>
          <w:rFonts w:ascii="Sylfaen" w:hAnsi="Sylfaen"/>
          <w:sz w:val="24"/>
          <w:szCs w:val="24"/>
          <w:lang w:val="ka-GE"/>
        </w:rPr>
        <w:t>,</w:t>
      </w:r>
      <w:r w:rsidRPr="00654B62">
        <w:rPr>
          <w:rFonts w:ascii="Sylfaen" w:hAnsi="Sylfaen"/>
          <w:sz w:val="24"/>
          <w:szCs w:val="24"/>
          <w:lang w:val="ka-GE"/>
        </w:rPr>
        <w:t xml:space="preserve"> </w:t>
      </w:r>
      <w:r w:rsidR="006040E7" w:rsidRPr="007D75DB">
        <w:rPr>
          <w:rFonts w:ascii="Sylfaen" w:hAnsi="Sylfaen"/>
          <w:sz w:val="24"/>
          <w:szCs w:val="24"/>
          <w:lang w:val="ka-GE"/>
        </w:rPr>
        <w:t xml:space="preserve">მათ შორის </w:t>
      </w:r>
      <w:r w:rsidR="0009429F">
        <w:rPr>
          <w:rFonts w:ascii="Sylfaen" w:hAnsi="Sylfaen"/>
          <w:sz w:val="24"/>
          <w:szCs w:val="24"/>
          <w:lang w:val="ka-GE"/>
        </w:rPr>
        <w:t>შეძლებული</w:t>
      </w:r>
      <w:r w:rsidR="006040E7" w:rsidRPr="007D75DB">
        <w:rPr>
          <w:rFonts w:ascii="Sylfaen" w:hAnsi="Sylfaen"/>
          <w:sz w:val="24"/>
          <w:szCs w:val="24"/>
          <w:lang w:val="ka-GE"/>
        </w:rPr>
        <w:t xml:space="preserve"> ადამიანების,  </w:t>
      </w:r>
      <w:r w:rsidRPr="007D75DB">
        <w:rPr>
          <w:rFonts w:ascii="Sylfaen" w:hAnsi="Sylfaen"/>
          <w:sz w:val="24"/>
          <w:szCs w:val="24"/>
          <w:lang w:val="ka-GE"/>
        </w:rPr>
        <w:t>ხელმისაწვდომობის გაზრდ</w:t>
      </w:r>
      <w:r w:rsidR="006040E7" w:rsidRPr="007D75DB">
        <w:rPr>
          <w:rFonts w:ascii="Sylfaen" w:hAnsi="Sylfaen"/>
          <w:sz w:val="24"/>
          <w:szCs w:val="24"/>
          <w:lang w:val="ka-GE"/>
        </w:rPr>
        <w:t xml:space="preserve">ით, საქართველო სწრაფად უახლოვდება დანარჩენ ევროპას. </w:t>
      </w:r>
      <w:r w:rsidR="0009429F" w:rsidRPr="007D75DB">
        <w:rPr>
          <w:rFonts w:ascii="Sylfaen" w:hAnsi="Sylfaen"/>
          <w:sz w:val="24"/>
          <w:szCs w:val="24"/>
          <w:lang w:val="ka-GE"/>
        </w:rPr>
        <w:t>ევროპ</w:t>
      </w:r>
      <w:r w:rsidR="0009429F">
        <w:rPr>
          <w:rFonts w:ascii="Sylfaen" w:hAnsi="Sylfaen"/>
          <w:sz w:val="24"/>
          <w:szCs w:val="24"/>
          <w:lang w:val="ka-GE"/>
        </w:rPr>
        <w:t>ის ქვეყნების უმრავლესობა</w:t>
      </w:r>
      <w:r w:rsidR="0009429F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6040E7" w:rsidRPr="007D75DB">
        <w:rPr>
          <w:rFonts w:ascii="Sylfaen" w:hAnsi="Sylfaen"/>
          <w:sz w:val="24"/>
          <w:szCs w:val="24"/>
          <w:lang w:val="ka-GE"/>
        </w:rPr>
        <w:t xml:space="preserve">იყენებს სახელმწიფო ფონდებს </w:t>
      </w:r>
      <w:r w:rsidR="0009429F">
        <w:rPr>
          <w:rFonts w:ascii="Sylfaen" w:hAnsi="Sylfaen"/>
          <w:sz w:val="24"/>
          <w:szCs w:val="24"/>
          <w:lang w:val="ka-GE"/>
        </w:rPr>
        <w:t xml:space="preserve">საკუთარი მოსახლეობის ჯანდაცვის სერვისებით უნივერსალური მოცვის უზურნველსაყოფად. </w:t>
      </w:r>
    </w:p>
    <w:p w14:paraId="3B950131" w14:textId="0B602CC4" w:rsidR="00281EE0" w:rsidRPr="007D75DB" w:rsidRDefault="00FE44D5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მომსახურების პაკეტი</w:t>
      </w:r>
      <w:r w:rsidR="007B0F6D" w:rsidRPr="007D75DB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7B0F6D" w:rsidRPr="007D75DB">
        <w:rPr>
          <w:rFonts w:ascii="Sylfaen" w:hAnsi="Sylfaen"/>
          <w:sz w:val="24"/>
          <w:szCs w:val="24"/>
          <w:lang w:val="ka-GE"/>
        </w:rPr>
        <w:t>საქართველომ ფოკუსირება მოახდინა გადაუდებელი სერვისების</w:t>
      </w:r>
      <w:r>
        <w:rPr>
          <w:rFonts w:ascii="Sylfaen" w:hAnsi="Sylfaen"/>
          <w:sz w:val="24"/>
          <w:szCs w:val="24"/>
          <w:lang w:val="ka-GE"/>
        </w:rPr>
        <w:t>,</w:t>
      </w:r>
      <w:r w:rsidR="007B0F6D" w:rsidRPr="007D75DB">
        <w:rPr>
          <w:rFonts w:ascii="Sylfaen" w:hAnsi="Sylfaen"/>
          <w:sz w:val="24"/>
          <w:szCs w:val="24"/>
          <w:lang w:val="ka-GE"/>
        </w:rPr>
        <w:t xml:space="preserve">  და ძვირადღირებულ</w:t>
      </w:r>
      <w:r>
        <w:rPr>
          <w:rFonts w:ascii="Sylfaen" w:hAnsi="Sylfaen"/>
          <w:sz w:val="24"/>
          <w:szCs w:val="24"/>
          <w:lang w:val="ka-GE"/>
        </w:rPr>
        <w:t>ი</w:t>
      </w:r>
      <w:r w:rsidR="007B0F6D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>ჰო</w:t>
      </w:r>
      <w:r>
        <w:rPr>
          <w:rFonts w:ascii="Sylfaen" w:hAnsi="Sylfaen"/>
          <w:sz w:val="24"/>
          <w:szCs w:val="24"/>
          <w:lang w:val="ka-GE"/>
        </w:rPr>
        <w:t>ს</w:t>
      </w:r>
      <w:r w:rsidRPr="007D75DB">
        <w:rPr>
          <w:rFonts w:ascii="Sylfaen" w:hAnsi="Sylfaen"/>
          <w:sz w:val="24"/>
          <w:szCs w:val="24"/>
          <w:lang w:val="ka-GE"/>
        </w:rPr>
        <w:t>პიტალურ</w:t>
      </w:r>
      <w:r>
        <w:rPr>
          <w:rFonts w:ascii="Sylfaen" w:hAnsi="Sylfaen"/>
          <w:sz w:val="24"/>
          <w:szCs w:val="24"/>
          <w:lang w:val="ka-GE"/>
        </w:rPr>
        <w:t>ი</w:t>
      </w:r>
      <w:r w:rsidRPr="007D75DB">
        <w:rPr>
          <w:rFonts w:ascii="Sylfaen" w:hAnsi="Sylfaen"/>
          <w:sz w:val="24"/>
          <w:szCs w:val="24"/>
          <w:lang w:val="ka-GE"/>
        </w:rPr>
        <w:t xml:space="preserve"> დახმარებ</w:t>
      </w:r>
      <w:r>
        <w:rPr>
          <w:rFonts w:ascii="Sylfaen" w:hAnsi="Sylfaen"/>
          <w:sz w:val="24"/>
          <w:szCs w:val="24"/>
          <w:lang w:val="ka-GE"/>
        </w:rPr>
        <w:t>ი</w:t>
      </w:r>
      <w:r w:rsidRPr="007D75DB">
        <w:rPr>
          <w:rFonts w:ascii="Sylfaen" w:hAnsi="Sylfaen"/>
          <w:sz w:val="24"/>
          <w:szCs w:val="24"/>
          <w:lang w:val="ka-GE"/>
        </w:rPr>
        <w:t xml:space="preserve">სა </w:t>
      </w:r>
      <w:r w:rsidR="007B0F6D" w:rsidRPr="007D75DB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>ონკოლოგიური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B0F6D" w:rsidRPr="007D75DB">
        <w:rPr>
          <w:rFonts w:ascii="Sylfaen" w:hAnsi="Sylfaen"/>
          <w:sz w:val="24"/>
          <w:szCs w:val="24"/>
          <w:lang w:val="ka-GE"/>
        </w:rPr>
        <w:t xml:space="preserve">დაავადებების </w:t>
      </w:r>
      <w:r w:rsidRPr="007D75DB">
        <w:rPr>
          <w:rFonts w:ascii="Sylfaen" w:hAnsi="Sylfaen"/>
          <w:sz w:val="24"/>
          <w:szCs w:val="24"/>
          <w:lang w:val="ka-GE"/>
        </w:rPr>
        <w:t>მკურნალობ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Pr="007D75DB">
        <w:rPr>
          <w:rFonts w:ascii="Sylfaen" w:hAnsi="Sylfaen"/>
          <w:sz w:val="24"/>
          <w:szCs w:val="24"/>
          <w:lang w:val="ka-GE"/>
        </w:rPr>
        <w:t xml:space="preserve">სახელმწიფო დაფინანსებით მოცვაზე, </w:t>
      </w:r>
      <w:r w:rsidR="007B0F6D" w:rsidRPr="007D75DB">
        <w:rPr>
          <w:rFonts w:ascii="Sylfaen" w:hAnsi="Sylfaen"/>
          <w:sz w:val="24"/>
          <w:szCs w:val="24"/>
          <w:lang w:val="ka-GE"/>
        </w:rPr>
        <w:t>რომელზეც ბევრ ადამიანს, მათ შორის</w:t>
      </w:r>
      <w:r>
        <w:rPr>
          <w:rFonts w:ascii="Sylfaen" w:hAnsi="Sylfaen"/>
          <w:sz w:val="24"/>
          <w:szCs w:val="24"/>
          <w:lang w:val="ka-GE"/>
        </w:rPr>
        <w:t>, მოსახლეობის შეძლებულ ფენას,</w:t>
      </w:r>
      <w:r w:rsidR="0063320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ხელმისაწვდომობის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955541" w:rsidRPr="007D75DB">
        <w:rPr>
          <w:rFonts w:ascii="Sylfaen" w:hAnsi="Sylfaen"/>
          <w:sz w:val="24"/>
          <w:szCs w:val="24"/>
          <w:lang w:val="ka-GE"/>
        </w:rPr>
        <w:t xml:space="preserve">პრობლემები </w:t>
      </w:r>
      <w:r w:rsidR="00441871">
        <w:rPr>
          <w:rFonts w:ascii="Sylfaen" w:hAnsi="Sylfaen"/>
          <w:sz w:val="24"/>
          <w:szCs w:val="24"/>
          <w:lang w:val="ka-GE"/>
        </w:rPr>
        <w:t>ჰქონდა</w:t>
      </w:r>
      <w:r w:rsidR="00955541" w:rsidRPr="007D75DB">
        <w:rPr>
          <w:rFonts w:ascii="Sylfaen" w:hAnsi="Sylfaen"/>
          <w:sz w:val="24"/>
          <w:szCs w:val="24"/>
          <w:lang w:val="ka-GE"/>
        </w:rPr>
        <w:t xml:space="preserve"> 2013 წლამდე. ეს არის </w:t>
      </w:r>
      <w:r>
        <w:rPr>
          <w:rFonts w:ascii="Sylfaen" w:hAnsi="Sylfaen"/>
          <w:sz w:val="24"/>
          <w:szCs w:val="24"/>
          <w:lang w:val="ka-GE"/>
        </w:rPr>
        <w:t>მნიშვნელოვანი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955541" w:rsidRPr="007D75DB">
        <w:rPr>
          <w:rFonts w:ascii="Sylfaen" w:hAnsi="Sylfaen"/>
          <w:sz w:val="24"/>
          <w:szCs w:val="24"/>
          <w:lang w:val="ka-GE"/>
        </w:rPr>
        <w:t>მიღწევა. რეფერალური სისტემები და მედიკამენტების რეცეპტებ</w:t>
      </w:r>
      <w:r w:rsidR="00FB0919">
        <w:rPr>
          <w:rFonts w:ascii="Sylfaen" w:hAnsi="Sylfaen"/>
          <w:sz w:val="24"/>
          <w:szCs w:val="24"/>
          <w:lang w:val="ka-GE"/>
        </w:rPr>
        <w:t>ით გაცემა</w:t>
      </w:r>
      <w:r w:rsidR="00955541" w:rsidRPr="007D75DB">
        <w:rPr>
          <w:rFonts w:ascii="Sylfaen" w:hAnsi="Sylfaen"/>
          <w:sz w:val="24"/>
          <w:szCs w:val="24"/>
          <w:lang w:val="ka-GE"/>
        </w:rPr>
        <w:t xml:space="preserve"> ასევე მნიშვნელოვანი ინსტრუმენტებია </w:t>
      </w:r>
      <w:r w:rsidR="00281EE0" w:rsidRPr="007D75DB">
        <w:rPr>
          <w:rFonts w:ascii="Sylfaen" w:hAnsi="Sylfaen"/>
          <w:sz w:val="24"/>
          <w:szCs w:val="24"/>
          <w:lang w:val="ka-GE"/>
        </w:rPr>
        <w:t>პაციენტებისთ</w:t>
      </w:r>
      <w:r w:rsidR="00FB0919">
        <w:rPr>
          <w:rFonts w:ascii="Sylfaen" w:hAnsi="Sylfaen"/>
          <w:sz w:val="24"/>
          <w:szCs w:val="24"/>
          <w:lang w:val="ka-GE"/>
        </w:rPr>
        <w:t>ვ</w:t>
      </w:r>
      <w:r w:rsidR="00281EE0" w:rsidRPr="007D75DB">
        <w:rPr>
          <w:rFonts w:ascii="Sylfaen" w:hAnsi="Sylfaen"/>
          <w:sz w:val="24"/>
          <w:szCs w:val="24"/>
          <w:lang w:val="ka-GE"/>
        </w:rPr>
        <w:t>ის უსა</w:t>
      </w:r>
      <w:r w:rsidR="00FB0919">
        <w:rPr>
          <w:rFonts w:ascii="Sylfaen" w:hAnsi="Sylfaen"/>
          <w:sz w:val="24"/>
          <w:szCs w:val="24"/>
          <w:lang w:val="ka-GE"/>
        </w:rPr>
        <w:t>ფ</w:t>
      </w:r>
      <w:r w:rsidR="00281EE0" w:rsidRPr="007D75DB">
        <w:rPr>
          <w:rFonts w:ascii="Sylfaen" w:hAnsi="Sylfaen"/>
          <w:sz w:val="24"/>
          <w:szCs w:val="24"/>
          <w:lang w:val="ka-GE"/>
        </w:rPr>
        <w:t>რთხო და ხარისხიანი სერვისების მისაწოდებლად.</w:t>
      </w:r>
    </w:p>
    <w:p w14:paraId="5E5B7862" w14:textId="03A20372" w:rsidR="00672A40" w:rsidRPr="007D75DB" w:rsidRDefault="00281EE0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 xml:space="preserve">უფასო პირველადი </w:t>
      </w:r>
      <w:r w:rsidR="00FC3A10">
        <w:rPr>
          <w:rFonts w:ascii="Sylfaen" w:hAnsi="Sylfaen"/>
          <w:b/>
          <w:sz w:val="24"/>
          <w:szCs w:val="24"/>
          <w:lang w:val="ka-GE"/>
        </w:rPr>
        <w:t>ჯანდაცვა</w:t>
      </w:r>
      <w:r w:rsidRPr="007D75DB">
        <w:rPr>
          <w:rFonts w:ascii="Sylfaen" w:hAnsi="Sylfaen"/>
          <w:b/>
          <w:sz w:val="24"/>
          <w:szCs w:val="24"/>
          <w:lang w:val="ka-GE"/>
        </w:rPr>
        <w:t>: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FE44D5">
        <w:rPr>
          <w:rFonts w:ascii="Sylfaen" w:hAnsi="Sylfaen"/>
          <w:sz w:val="24"/>
          <w:szCs w:val="24"/>
          <w:lang w:val="ka-GE"/>
        </w:rPr>
        <w:t xml:space="preserve">ანაზღაურების გარეშე </w:t>
      </w:r>
      <w:r w:rsidR="00254C36" w:rsidRPr="007D75DB">
        <w:rPr>
          <w:rFonts w:ascii="Sylfaen" w:hAnsi="Sylfaen"/>
          <w:sz w:val="24"/>
          <w:szCs w:val="24"/>
          <w:lang w:val="ka-GE"/>
        </w:rPr>
        <w:t xml:space="preserve">ოჯახის </w:t>
      </w:r>
      <w:r w:rsidR="00FE44D5" w:rsidRPr="007D75DB">
        <w:rPr>
          <w:rFonts w:ascii="Sylfaen" w:hAnsi="Sylfaen"/>
          <w:sz w:val="24"/>
          <w:szCs w:val="24"/>
          <w:lang w:val="ka-GE"/>
        </w:rPr>
        <w:t>ექიმ</w:t>
      </w:r>
      <w:r w:rsidR="00FE44D5">
        <w:rPr>
          <w:rFonts w:ascii="Sylfaen" w:hAnsi="Sylfaen"/>
          <w:sz w:val="24"/>
          <w:szCs w:val="24"/>
          <w:lang w:val="ka-GE"/>
        </w:rPr>
        <w:t>თან</w:t>
      </w:r>
      <w:r w:rsidR="00FE44D5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254C36" w:rsidRPr="007D75DB">
        <w:rPr>
          <w:rFonts w:ascii="Sylfaen" w:hAnsi="Sylfaen"/>
          <w:sz w:val="24"/>
          <w:szCs w:val="24"/>
          <w:lang w:val="ka-GE"/>
        </w:rPr>
        <w:t>ვიზიტები</w:t>
      </w:r>
      <w:r w:rsidR="00FE44D5">
        <w:rPr>
          <w:rFonts w:ascii="Sylfaen" w:hAnsi="Sylfaen"/>
          <w:sz w:val="24"/>
          <w:szCs w:val="24"/>
          <w:lang w:val="ka-GE"/>
        </w:rPr>
        <w:t xml:space="preserve"> </w:t>
      </w:r>
      <w:r w:rsidR="00254C36" w:rsidRPr="007D75DB">
        <w:rPr>
          <w:rFonts w:ascii="Sylfaen" w:hAnsi="Sylfaen"/>
          <w:sz w:val="24"/>
          <w:szCs w:val="24"/>
          <w:lang w:val="ka-GE"/>
        </w:rPr>
        <w:t xml:space="preserve">ფინანსურ ბარიერებს ხსნის </w:t>
      </w:r>
      <w:r w:rsidR="00FE44D5">
        <w:rPr>
          <w:rFonts w:ascii="Sylfaen" w:hAnsi="Sylfaen"/>
          <w:sz w:val="24"/>
          <w:szCs w:val="24"/>
          <w:lang w:val="ka-GE"/>
        </w:rPr>
        <w:t xml:space="preserve">მოსახლეობისთვის </w:t>
      </w:r>
      <w:r w:rsidR="00254C36" w:rsidRPr="007D75DB">
        <w:rPr>
          <w:rFonts w:ascii="Sylfaen" w:hAnsi="Sylfaen"/>
          <w:sz w:val="24"/>
          <w:szCs w:val="24"/>
          <w:lang w:val="ka-GE"/>
        </w:rPr>
        <w:t xml:space="preserve">და საქართველოს ევროპის ქვეყნებთან </w:t>
      </w:r>
      <w:r w:rsidR="00FB0919">
        <w:rPr>
          <w:rFonts w:ascii="Sylfaen" w:hAnsi="Sylfaen"/>
          <w:sz w:val="24"/>
          <w:szCs w:val="24"/>
          <w:lang w:val="ka-GE"/>
        </w:rPr>
        <w:t>აახლოებს</w:t>
      </w:r>
      <w:r w:rsidR="00254C36" w:rsidRPr="007D75DB">
        <w:rPr>
          <w:rFonts w:ascii="Sylfaen" w:hAnsi="Sylfaen"/>
          <w:sz w:val="24"/>
          <w:szCs w:val="24"/>
          <w:lang w:val="ka-GE"/>
        </w:rPr>
        <w:t>.</w:t>
      </w:r>
    </w:p>
    <w:p w14:paraId="762641A8" w14:textId="796ACE47" w:rsidR="006040E7" w:rsidRPr="007D75DB" w:rsidRDefault="00672A40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ერთი</w:t>
      </w:r>
      <w:r w:rsidR="000579B3">
        <w:rPr>
          <w:rFonts w:ascii="Sylfaen" w:hAnsi="Sylfaen"/>
          <w:b/>
          <w:sz w:val="24"/>
          <w:szCs w:val="24"/>
          <w:lang w:val="ka-GE"/>
        </w:rPr>
        <w:t>ანი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შემსყიდველი სააგენტო:</w:t>
      </w:r>
      <w:r w:rsidRPr="007D75DB">
        <w:rPr>
          <w:rFonts w:ascii="Sylfaen" w:hAnsi="Sylfaen"/>
          <w:sz w:val="24"/>
          <w:szCs w:val="24"/>
          <w:lang w:val="ka-GE"/>
        </w:rPr>
        <w:t xml:space="preserve"> ევროპის ქვეყნების უმეტესობას </w:t>
      </w:r>
      <w:r w:rsidR="000579B3">
        <w:rPr>
          <w:rFonts w:ascii="Sylfaen" w:hAnsi="Sylfaen"/>
          <w:sz w:val="24"/>
          <w:szCs w:val="24"/>
          <w:lang w:val="ka-GE"/>
        </w:rPr>
        <w:t>გააჩნია</w:t>
      </w:r>
      <w:r w:rsidR="00633208">
        <w:rPr>
          <w:rFonts w:ascii="Sylfaen" w:hAnsi="Sylfaen"/>
          <w:sz w:val="24"/>
          <w:szCs w:val="24"/>
          <w:lang w:val="ka-GE"/>
        </w:rPr>
        <w:t xml:space="preserve"> </w:t>
      </w:r>
      <w:r w:rsidR="000579B3">
        <w:rPr>
          <w:rFonts w:ascii="Sylfaen" w:hAnsi="Sylfaen"/>
          <w:sz w:val="24"/>
          <w:szCs w:val="24"/>
          <w:lang w:val="ka-GE"/>
        </w:rPr>
        <w:t>ერთიანი</w:t>
      </w:r>
      <w:r w:rsidR="000579B3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შემსყიდველი </w:t>
      </w:r>
      <w:r w:rsidR="000579B3">
        <w:rPr>
          <w:rFonts w:ascii="Sylfaen" w:hAnsi="Sylfaen"/>
          <w:sz w:val="24"/>
          <w:szCs w:val="24"/>
          <w:lang w:val="ka-GE"/>
        </w:rPr>
        <w:t>ინსტიტუცია</w:t>
      </w:r>
      <w:r w:rsidR="000579B3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 მთელი ქვეყნის მასშტაბით.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 შემსყიდველი ფუნქციის გაერთიანებით</w:t>
      </w:r>
      <w:r w:rsidR="000579B3">
        <w:rPr>
          <w:rFonts w:ascii="Sylfaen" w:hAnsi="Sylfaen"/>
          <w:sz w:val="24"/>
          <w:szCs w:val="24"/>
          <w:lang w:val="ka-GE"/>
        </w:rPr>
        <w:t>,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 მთავრობამ შექმნა „აქტიურ“ შესყიდვაზე გადასვლის </w:t>
      </w:r>
      <w:r w:rsidR="000579B3" w:rsidRPr="007D75DB">
        <w:rPr>
          <w:rFonts w:ascii="Sylfaen" w:hAnsi="Sylfaen"/>
          <w:sz w:val="24"/>
          <w:szCs w:val="24"/>
          <w:lang w:val="ka-GE"/>
        </w:rPr>
        <w:t>პლატფორმა</w:t>
      </w:r>
      <w:r w:rsidR="000579B3"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="000579B3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მნიშვნლოვანია ჯანდაცვის სისტემის </w:t>
      </w:r>
      <w:r w:rsidR="000579B3">
        <w:rPr>
          <w:rFonts w:ascii="Sylfaen" w:hAnsi="Sylfaen"/>
          <w:sz w:val="24"/>
          <w:szCs w:val="24"/>
          <w:lang w:val="ka-GE"/>
        </w:rPr>
        <w:t>ეფექტიანი ფუნქციონირებისთვის</w:t>
      </w:r>
      <w:r w:rsidR="000579B3" w:rsidRPr="007D75DB">
        <w:rPr>
          <w:rFonts w:ascii="Sylfaen" w:hAnsi="Sylfaen"/>
          <w:sz w:val="24"/>
          <w:szCs w:val="24"/>
          <w:lang w:val="ka-GE"/>
        </w:rPr>
        <w:t xml:space="preserve">.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მისი მიზანია, </w:t>
      </w:r>
      <w:r w:rsidR="000579B3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რესურსების </w:t>
      </w:r>
      <w:r w:rsidR="000579B3">
        <w:rPr>
          <w:rFonts w:ascii="Sylfaen" w:hAnsi="Sylfaen"/>
          <w:sz w:val="24"/>
          <w:szCs w:val="24"/>
          <w:lang w:val="ka-GE"/>
        </w:rPr>
        <w:t xml:space="preserve">ოპტიმალური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გამოყენება </w:t>
      </w:r>
      <w:r w:rsidR="000579B3">
        <w:rPr>
          <w:rFonts w:ascii="Sylfaen" w:hAnsi="Sylfaen"/>
          <w:sz w:val="24"/>
          <w:szCs w:val="24"/>
          <w:lang w:val="ka-GE"/>
        </w:rPr>
        <w:t xml:space="preserve">ხარისხიანი </w:t>
      </w:r>
      <w:r w:rsidR="007333EB" w:rsidRPr="007D75DB">
        <w:rPr>
          <w:rFonts w:ascii="Sylfaen" w:hAnsi="Sylfaen"/>
          <w:sz w:val="24"/>
          <w:szCs w:val="24"/>
          <w:lang w:val="ka-GE"/>
        </w:rPr>
        <w:t>სერვისების მიწოდებისა და მოსახლეობის ჯანმრთელობის</w:t>
      </w:r>
      <w:r w:rsidR="00FB0919">
        <w:rPr>
          <w:rFonts w:ascii="Sylfaen" w:hAnsi="Sylfaen"/>
          <w:sz w:val="24"/>
          <w:szCs w:val="24"/>
          <w:lang w:val="ka-GE"/>
        </w:rPr>
        <w:t xml:space="preserve"> გაუმჯობესები</w:t>
      </w:r>
      <w:r w:rsidR="000579B3">
        <w:rPr>
          <w:rFonts w:ascii="Sylfaen" w:hAnsi="Sylfaen"/>
          <w:sz w:val="24"/>
          <w:szCs w:val="24"/>
          <w:lang w:val="ka-GE"/>
        </w:rPr>
        <w:t>ს</w:t>
      </w:r>
      <w:r w:rsidR="00FB0919">
        <w:rPr>
          <w:rFonts w:ascii="Sylfaen" w:hAnsi="Sylfaen"/>
          <w:sz w:val="24"/>
          <w:szCs w:val="24"/>
          <w:lang w:val="ka-GE"/>
        </w:rPr>
        <w:t xml:space="preserve"> მიზნით</w:t>
      </w:r>
      <w:r w:rsidR="007333EB" w:rsidRPr="007D75DB">
        <w:rPr>
          <w:rFonts w:ascii="Sylfaen" w:hAnsi="Sylfaen"/>
          <w:sz w:val="24"/>
          <w:szCs w:val="24"/>
          <w:lang w:val="ka-GE"/>
        </w:rPr>
        <w:t>.</w:t>
      </w:r>
    </w:p>
    <w:p w14:paraId="34B1C61D" w14:textId="738EBFB4" w:rsidR="007333EB" w:rsidRPr="007D75DB" w:rsidRDefault="007333EB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სახელმწიფო დაფინანსებ</w:t>
      </w:r>
      <w:r w:rsidR="005E7DC4">
        <w:rPr>
          <w:rFonts w:ascii="Sylfaen" w:hAnsi="Sylfaen"/>
          <w:b/>
          <w:sz w:val="24"/>
          <w:szCs w:val="24"/>
          <w:lang w:val="ka-GE"/>
        </w:rPr>
        <w:t>აზე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გაზრდილი </w:t>
      </w:r>
      <w:r w:rsidR="005E7DC4" w:rsidRPr="005E7DC4">
        <w:rPr>
          <w:rFonts w:ascii="Sylfaen" w:hAnsi="Sylfaen"/>
          <w:b/>
          <w:sz w:val="24"/>
          <w:szCs w:val="24"/>
          <w:lang w:val="ka-GE"/>
        </w:rPr>
        <w:t>დამოკიდებულება</w:t>
      </w:r>
      <w:r w:rsidRPr="005E7DC4">
        <w:rPr>
          <w:rFonts w:ascii="Sylfaen" w:hAnsi="Sylfaen"/>
          <w:b/>
          <w:sz w:val="24"/>
          <w:szCs w:val="24"/>
          <w:lang w:val="ka-GE"/>
        </w:rPr>
        <w:t>: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ჯანდაცვის სისტემების </w:t>
      </w:r>
      <w:r w:rsidR="005E7DC4">
        <w:rPr>
          <w:rFonts w:ascii="Sylfaen" w:hAnsi="Sylfaen"/>
          <w:sz w:val="24"/>
          <w:szCs w:val="24"/>
          <w:lang w:val="ka-GE"/>
        </w:rPr>
        <w:t>მაღალი პროდუქტიულობა</w:t>
      </w:r>
      <w:r w:rsidRPr="007D75DB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>დიდად არის დამოკიდებული დაფინანსების სავალდებულო, სახელმწიფო წყაროებზე</w:t>
      </w:r>
      <w:r w:rsidR="000579B3">
        <w:rPr>
          <w:rFonts w:ascii="Sylfaen" w:hAnsi="Sylfaen"/>
          <w:sz w:val="24"/>
          <w:szCs w:val="24"/>
          <w:lang w:val="ka-GE"/>
        </w:rPr>
        <w:t>, რომელსაც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0579B3">
        <w:rPr>
          <w:rFonts w:ascii="Sylfaen" w:hAnsi="Sylfaen"/>
          <w:sz w:val="24"/>
          <w:szCs w:val="24"/>
          <w:lang w:val="ka-GE"/>
        </w:rPr>
        <w:t xml:space="preserve">ჯანდაცვაზე </w:t>
      </w:r>
      <w:r w:rsidRPr="007D75DB">
        <w:rPr>
          <w:rFonts w:ascii="Sylfaen" w:hAnsi="Sylfaen"/>
          <w:sz w:val="24"/>
          <w:szCs w:val="24"/>
          <w:lang w:val="ka-GE"/>
        </w:rPr>
        <w:t>ჯიბიდან გადახდები</w:t>
      </w:r>
      <w:r w:rsidR="004E157F" w:rsidRPr="007D75DB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 w:rsidRPr="007D75DB">
        <w:rPr>
          <w:rFonts w:ascii="Sylfaen" w:hAnsi="Sylfaen"/>
          <w:sz w:val="24"/>
          <w:szCs w:val="24"/>
          <w:lang w:val="ka-GE"/>
        </w:rPr>
        <w:t xml:space="preserve"> მინიმუმამდე და</w:t>
      </w:r>
      <w:r w:rsidR="005E7DC4">
        <w:rPr>
          <w:rFonts w:ascii="Sylfaen" w:hAnsi="Sylfaen"/>
          <w:sz w:val="24"/>
          <w:szCs w:val="24"/>
          <w:lang w:val="ka-GE"/>
        </w:rPr>
        <w:t>ჰ</w:t>
      </w:r>
      <w:r w:rsidRPr="007D75DB">
        <w:rPr>
          <w:rFonts w:ascii="Sylfaen" w:hAnsi="Sylfaen"/>
          <w:sz w:val="24"/>
          <w:szCs w:val="24"/>
          <w:lang w:val="ka-GE"/>
        </w:rPr>
        <w:t>ყავს.</w:t>
      </w:r>
    </w:p>
    <w:p w14:paraId="230A1895" w14:textId="568276A8" w:rsidR="007333EB" w:rsidRPr="007D75DB" w:rsidRDefault="00AF20BC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ჯანდაცვის </w:t>
      </w:r>
      <w:r w:rsidR="007333EB" w:rsidRPr="007D75DB">
        <w:rPr>
          <w:rFonts w:ascii="Sylfaen" w:hAnsi="Sylfaen"/>
          <w:b/>
          <w:sz w:val="24"/>
          <w:szCs w:val="24"/>
          <w:lang w:val="ka-GE"/>
        </w:rPr>
        <w:t>დაფინანსება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b/>
          <w:sz w:val="24"/>
          <w:szCs w:val="24"/>
          <w:lang w:val="ka-GE"/>
        </w:rPr>
        <w:t>სახელმწიფო ბიუჯეტიდან</w:t>
      </w:r>
      <w:r w:rsidR="007333EB" w:rsidRPr="007D75DB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7333EB" w:rsidRPr="007D75DB">
        <w:rPr>
          <w:rFonts w:ascii="Sylfaen" w:hAnsi="Sylfaen"/>
          <w:sz w:val="24"/>
          <w:szCs w:val="24"/>
          <w:lang w:val="ka-GE"/>
        </w:rPr>
        <w:t>საქართველოს მსგავსად, ევროპ</w:t>
      </w:r>
      <w:r>
        <w:rPr>
          <w:rFonts w:ascii="Sylfaen" w:hAnsi="Sylfaen"/>
          <w:sz w:val="24"/>
          <w:szCs w:val="24"/>
          <w:lang w:val="ka-GE"/>
        </w:rPr>
        <w:t>ის არაერთი ქვეყნის</w:t>
      </w:r>
      <w:r w:rsidR="00633208">
        <w:rPr>
          <w:rFonts w:ascii="Sylfaen" w:hAnsi="Sylfaen"/>
          <w:sz w:val="24"/>
          <w:szCs w:val="24"/>
          <w:lang w:val="ka-GE"/>
        </w:rPr>
        <w:t xml:space="preserve">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Pr="007D75DB">
        <w:rPr>
          <w:rFonts w:ascii="Sylfaen" w:hAnsi="Sylfaen"/>
          <w:sz w:val="24"/>
          <w:szCs w:val="24"/>
          <w:lang w:val="ka-GE"/>
        </w:rPr>
        <w:t>სისტემ</w:t>
      </w:r>
      <w:r>
        <w:rPr>
          <w:rFonts w:ascii="Sylfaen" w:hAnsi="Sylfaen"/>
          <w:sz w:val="24"/>
          <w:szCs w:val="24"/>
          <w:lang w:val="ka-GE"/>
        </w:rPr>
        <w:t>ის დაფინანსების წყაროს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პირდაპირ სახელმწიფო </w:t>
      </w:r>
      <w:r w:rsidRPr="007D75DB">
        <w:rPr>
          <w:rFonts w:ascii="Sylfaen" w:hAnsi="Sylfaen"/>
          <w:sz w:val="24"/>
          <w:szCs w:val="24"/>
          <w:lang w:val="ka-GE"/>
        </w:rPr>
        <w:t>ბიუჯეტი</w:t>
      </w:r>
      <w:r>
        <w:rPr>
          <w:rFonts w:ascii="Sylfaen" w:hAnsi="Sylfaen"/>
          <w:sz w:val="24"/>
          <w:szCs w:val="24"/>
          <w:lang w:val="ka-GE"/>
        </w:rPr>
        <w:t xml:space="preserve"> წარმოადგენს</w:t>
      </w:r>
      <w:r w:rsidR="007333EB" w:rsidRPr="007D75DB">
        <w:rPr>
          <w:rFonts w:ascii="Sylfaen" w:hAnsi="Sylfaen"/>
          <w:sz w:val="24"/>
          <w:szCs w:val="24"/>
          <w:lang w:val="ka-GE"/>
        </w:rPr>
        <w:t xml:space="preserve">. </w:t>
      </w:r>
      <w:r w:rsidR="005E07CD" w:rsidRPr="007D75DB">
        <w:rPr>
          <w:rFonts w:ascii="Sylfaen" w:hAnsi="Sylfaen"/>
          <w:sz w:val="24"/>
          <w:szCs w:val="24"/>
          <w:lang w:val="ka-GE"/>
        </w:rPr>
        <w:t>ქვეყნებ</w:t>
      </w:r>
      <w:r w:rsidR="005E07CD">
        <w:rPr>
          <w:rFonts w:ascii="Sylfaen" w:hAnsi="Sylfaen"/>
          <w:sz w:val="24"/>
          <w:szCs w:val="24"/>
          <w:lang w:val="ka-GE"/>
        </w:rPr>
        <w:t>ს</w:t>
      </w:r>
      <w:r w:rsidR="005E07CD" w:rsidRPr="007D75DB">
        <w:rPr>
          <w:rFonts w:ascii="Sylfaen" w:hAnsi="Sylfaen"/>
          <w:sz w:val="24"/>
          <w:szCs w:val="24"/>
          <w:lang w:val="ka-GE"/>
        </w:rPr>
        <w:t xml:space="preserve">, 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რომლებიც </w:t>
      </w:r>
      <w:r w:rsidR="000161BD">
        <w:rPr>
          <w:rFonts w:ascii="Sylfaen" w:hAnsi="Sylfaen"/>
          <w:sz w:val="24"/>
          <w:szCs w:val="24"/>
          <w:lang w:val="ka-GE"/>
        </w:rPr>
        <w:t xml:space="preserve"> </w:t>
      </w:r>
      <w:r w:rsidR="000161BD">
        <w:rPr>
          <w:rFonts w:ascii="Sylfaen" w:hAnsi="Sylfaen"/>
          <w:sz w:val="24"/>
          <w:szCs w:val="24"/>
          <w:lang w:val="ka-GE"/>
        </w:rPr>
        <w:lastRenderedPageBreak/>
        <w:t xml:space="preserve">ჯანდაცვისთვის 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ისტორიულად იყენებდნენ ხელფასებზე </w:t>
      </w:r>
      <w:r w:rsidR="000161BD">
        <w:rPr>
          <w:rFonts w:ascii="Sylfaen" w:hAnsi="Sylfaen"/>
          <w:sz w:val="24"/>
          <w:szCs w:val="24"/>
          <w:lang w:val="ka-GE"/>
        </w:rPr>
        <w:t xml:space="preserve">დაფუძნებულ 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 სახელმწიფო დაფინანსებას, </w:t>
      </w:r>
      <w:r w:rsidR="000161BD">
        <w:rPr>
          <w:rFonts w:ascii="Sylfaen" w:hAnsi="Sylfaen"/>
          <w:sz w:val="24"/>
          <w:szCs w:val="24"/>
          <w:lang w:val="ka-GE"/>
        </w:rPr>
        <w:t xml:space="preserve">სულ უფრო მეტად </w:t>
      </w:r>
      <w:r w:rsidR="005E07CD">
        <w:rPr>
          <w:rFonts w:ascii="Sylfaen" w:hAnsi="Sylfaen"/>
          <w:sz w:val="24"/>
          <w:szCs w:val="24"/>
          <w:lang w:val="ka-GE"/>
        </w:rPr>
        <w:t>ესაჭიროებათ</w:t>
      </w:r>
      <w:r w:rsidR="000161BD">
        <w:rPr>
          <w:rFonts w:ascii="Sylfaen" w:hAnsi="Sylfaen"/>
          <w:sz w:val="24"/>
          <w:szCs w:val="24"/>
          <w:lang w:val="ka-GE"/>
        </w:rPr>
        <w:t xml:space="preserve"> </w:t>
      </w:r>
      <w:r w:rsidR="005E07CD">
        <w:rPr>
          <w:rFonts w:ascii="Sylfaen" w:hAnsi="Sylfaen"/>
          <w:sz w:val="24"/>
          <w:szCs w:val="24"/>
          <w:lang w:val="ka-GE"/>
        </w:rPr>
        <w:t xml:space="preserve">გაზრდილი 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0161BD">
        <w:rPr>
          <w:rFonts w:ascii="Sylfaen" w:hAnsi="Sylfaen"/>
          <w:sz w:val="24"/>
          <w:szCs w:val="24"/>
          <w:lang w:val="ka-GE"/>
        </w:rPr>
        <w:t>ფონდებ</w:t>
      </w:r>
      <w:r w:rsidR="005E07CD">
        <w:rPr>
          <w:rFonts w:ascii="Sylfaen" w:hAnsi="Sylfaen"/>
          <w:sz w:val="24"/>
          <w:szCs w:val="24"/>
          <w:lang w:val="ka-GE"/>
        </w:rPr>
        <w:t>ი</w:t>
      </w:r>
      <w:r w:rsidR="000161BD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166D4F" w:rsidRPr="007D75DB">
        <w:rPr>
          <w:rFonts w:ascii="Sylfaen" w:hAnsi="Sylfaen"/>
          <w:sz w:val="24"/>
          <w:szCs w:val="24"/>
          <w:lang w:val="ka-GE"/>
        </w:rPr>
        <w:t>(ხელფ</w:t>
      </w:r>
      <w:r w:rsidR="00633208">
        <w:rPr>
          <w:rFonts w:ascii="Sylfaen" w:hAnsi="Sylfaen"/>
          <w:sz w:val="24"/>
          <w:szCs w:val="24"/>
          <w:lang w:val="ka-GE"/>
        </w:rPr>
        <w:t>ა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სებზე </w:t>
      </w:r>
      <w:r w:rsidR="000161BD">
        <w:rPr>
          <w:rFonts w:ascii="Sylfaen" w:hAnsi="Sylfaen"/>
          <w:sz w:val="24"/>
          <w:szCs w:val="24"/>
          <w:lang w:val="ka-GE"/>
        </w:rPr>
        <w:t>და</w:t>
      </w:r>
      <w:r w:rsidR="005E07CD">
        <w:rPr>
          <w:rFonts w:ascii="Sylfaen" w:hAnsi="Sylfaen"/>
          <w:sz w:val="24"/>
          <w:szCs w:val="24"/>
          <w:lang w:val="ka-GE"/>
        </w:rPr>
        <w:t>ფუძნებული</w:t>
      </w:r>
      <w:r w:rsidR="000161BD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166D4F" w:rsidRPr="007D75DB">
        <w:rPr>
          <w:rFonts w:ascii="Sylfaen" w:hAnsi="Sylfaen"/>
          <w:sz w:val="24"/>
          <w:szCs w:val="24"/>
          <w:lang w:val="ka-GE"/>
        </w:rPr>
        <w:t xml:space="preserve">სახელმწიფო დაფინანსების </w:t>
      </w:r>
      <w:r w:rsidR="005E07CD">
        <w:rPr>
          <w:rFonts w:ascii="Sylfaen" w:hAnsi="Sylfaen"/>
          <w:sz w:val="24"/>
          <w:szCs w:val="24"/>
          <w:lang w:val="ka-GE"/>
        </w:rPr>
        <w:t>ნაცვლად,</w:t>
      </w:r>
      <w:r w:rsidR="005E07CD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166D4F" w:rsidRPr="007D75DB">
        <w:rPr>
          <w:rFonts w:ascii="Sylfaen" w:hAnsi="Sylfaen"/>
          <w:sz w:val="24"/>
          <w:szCs w:val="24"/>
          <w:lang w:val="ka-GE"/>
        </w:rPr>
        <w:t>ან მასზე დამატებით).</w:t>
      </w:r>
    </w:p>
    <w:p w14:paraId="555DE1FF" w14:textId="5380613D" w:rsidR="00166D4F" w:rsidRPr="007D75DB" w:rsidRDefault="005E07CD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97F9B">
        <w:rPr>
          <w:rFonts w:ascii="Sylfaen" w:hAnsi="Sylfaen"/>
          <w:b/>
          <w:sz w:val="24"/>
          <w:szCs w:val="24"/>
          <w:lang w:val="ka-GE"/>
        </w:rPr>
        <w:t xml:space="preserve">ქვეყანაში მიმდინარე </w:t>
      </w:r>
      <w:r w:rsidR="00166D4F" w:rsidRPr="007D75DB">
        <w:rPr>
          <w:rFonts w:ascii="Sylfaen" w:hAnsi="Sylfaen"/>
          <w:b/>
          <w:sz w:val="24"/>
          <w:szCs w:val="24"/>
          <w:lang w:val="ka-GE"/>
        </w:rPr>
        <w:t xml:space="preserve">რეფორმებმა </w:t>
      </w:r>
      <w:r w:rsidR="00FB0919">
        <w:rPr>
          <w:rFonts w:ascii="Sylfaen" w:hAnsi="Sylfaen"/>
          <w:b/>
          <w:sz w:val="24"/>
          <w:szCs w:val="24"/>
          <w:lang w:val="ka-GE"/>
        </w:rPr>
        <w:t>საფუძველი დაუდო</w:t>
      </w:r>
      <w:r w:rsidR="00166D4F" w:rsidRPr="007D75DB">
        <w:rPr>
          <w:rFonts w:ascii="Sylfaen" w:hAnsi="Sylfaen"/>
          <w:b/>
          <w:sz w:val="24"/>
          <w:szCs w:val="24"/>
          <w:lang w:val="ka-GE"/>
        </w:rPr>
        <w:t xml:space="preserve"> მოსახლეობისთვის ხელშესახებ სარგებ</w:t>
      </w:r>
      <w:r w:rsidR="00FB0919">
        <w:rPr>
          <w:rFonts w:ascii="Sylfaen" w:hAnsi="Sylfaen"/>
          <w:b/>
          <w:sz w:val="24"/>
          <w:szCs w:val="24"/>
          <w:lang w:val="ka-GE"/>
        </w:rPr>
        <w:t>ელს</w:t>
      </w:r>
      <w:r w:rsidR="00166D4F" w:rsidRPr="007D75DB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797F9B">
        <w:rPr>
          <w:rFonts w:ascii="Sylfaen" w:hAnsi="Sylfaen"/>
          <w:b/>
          <w:sz w:val="24"/>
          <w:szCs w:val="24"/>
          <w:lang w:val="ka-GE"/>
        </w:rPr>
        <w:t xml:space="preserve"> ჯანდაცვის სერვისების უნივერსალურ მოცვას</w:t>
      </w:r>
    </w:p>
    <w:p w14:paraId="0DB3D3A0" w14:textId="1210B642" w:rsidR="00166D4F" w:rsidRPr="007D75DB" w:rsidRDefault="00166D4F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საყოველთაო ჯანდაცვით მოცვა ნიშნავს, რომ </w:t>
      </w:r>
      <w:r w:rsidR="00797F9B">
        <w:rPr>
          <w:rFonts w:ascii="Sylfaen" w:hAnsi="Sylfaen"/>
          <w:sz w:val="24"/>
          <w:szCs w:val="24"/>
          <w:lang w:val="ka-GE"/>
        </w:rPr>
        <w:t xml:space="preserve">საჭიროების შემთხვევაში, </w:t>
      </w:r>
      <w:r w:rsidRPr="007D75DB">
        <w:rPr>
          <w:rFonts w:ascii="Sylfaen" w:hAnsi="Sylfaen"/>
          <w:sz w:val="24"/>
          <w:szCs w:val="24"/>
          <w:lang w:val="ka-GE"/>
        </w:rPr>
        <w:t xml:space="preserve">ყველას შეუძლია </w:t>
      </w:r>
      <w:r w:rsidR="00797F9B">
        <w:rPr>
          <w:rFonts w:ascii="Sylfaen" w:hAnsi="Sylfaen"/>
          <w:sz w:val="24"/>
          <w:szCs w:val="24"/>
          <w:lang w:val="ka-GE"/>
        </w:rPr>
        <w:t xml:space="preserve">ხარისხიანი </w:t>
      </w:r>
      <w:r w:rsidRPr="007D75DB">
        <w:rPr>
          <w:rFonts w:ascii="Sylfaen" w:hAnsi="Sylfaen"/>
          <w:sz w:val="24"/>
          <w:szCs w:val="24"/>
          <w:lang w:val="ka-GE"/>
        </w:rPr>
        <w:t>ჯანდაცვის სერვისების გამოყენება ფინანსური ბარიერების გარეშე. კვლევ</w:t>
      </w:r>
      <w:r w:rsidR="00797F9B">
        <w:rPr>
          <w:rFonts w:ascii="Sylfaen" w:hAnsi="Sylfaen"/>
          <w:sz w:val="24"/>
          <w:szCs w:val="24"/>
          <w:lang w:val="ka-GE"/>
        </w:rPr>
        <w:t>ებ</w:t>
      </w:r>
      <w:r w:rsidRPr="007D75DB">
        <w:rPr>
          <w:rFonts w:ascii="Sylfaen" w:hAnsi="Sylfaen"/>
          <w:sz w:val="24"/>
          <w:szCs w:val="24"/>
          <w:lang w:val="ka-GE"/>
        </w:rPr>
        <w:t>ის მონაცემები</w:t>
      </w:r>
      <w:r w:rsidR="004E157F" w:rsidRPr="007D75DB">
        <w:rPr>
          <w:rStyle w:val="FootnoteReference"/>
          <w:rFonts w:ascii="Sylfaen" w:hAnsi="Sylfaen"/>
          <w:sz w:val="24"/>
          <w:szCs w:val="24"/>
          <w:lang w:val="ka-GE"/>
        </w:rPr>
        <w:footnoteReference w:id="2"/>
      </w:r>
      <w:r w:rsidRPr="007D75DB">
        <w:rPr>
          <w:rFonts w:ascii="Sylfaen" w:hAnsi="Sylfaen"/>
          <w:sz w:val="24"/>
          <w:szCs w:val="24"/>
          <w:lang w:val="ka-GE"/>
        </w:rPr>
        <w:t xml:space="preserve"> აჩვენებს, რომ 2014 წელს (ბოლო წელი, რომლის მონაცემები ხელმისაწვდომია), 2010 წელთან შედა</w:t>
      </w:r>
      <w:r w:rsidR="00FB0919">
        <w:rPr>
          <w:rFonts w:ascii="Sylfaen" w:hAnsi="Sylfaen"/>
          <w:sz w:val="24"/>
          <w:szCs w:val="24"/>
          <w:lang w:val="ka-GE"/>
        </w:rPr>
        <w:t>რ</w:t>
      </w:r>
      <w:r w:rsidRPr="007D75DB">
        <w:rPr>
          <w:rFonts w:ascii="Sylfaen" w:hAnsi="Sylfaen"/>
          <w:sz w:val="24"/>
          <w:szCs w:val="24"/>
          <w:lang w:val="ka-GE"/>
        </w:rPr>
        <w:t>ებით:</w:t>
      </w:r>
    </w:p>
    <w:p w14:paraId="46CA4863" w14:textId="00B68D35" w:rsidR="00166D4F" w:rsidRPr="007D75DB" w:rsidRDefault="00324D80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>ადამიანები</w:t>
      </w:r>
      <w:r w:rsidR="00797F9B">
        <w:rPr>
          <w:rFonts w:ascii="Sylfaen" w:hAnsi="Sylfaen"/>
          <w:sz w:val="24"/>
          <w:szCs w:val="24"/>
          <w:lang w:val="ka-GE"/>
        </w:rPr>
        <w:t>, როდესაც ავად არიან</w:t>
      </w:r>
      <w:r w:rsidRPr="007D75DB">
        <w:rPr>
          <w:rFonts w:ascii="Sylfaen" w:hAnsi="Sylfaen"/>
          <w:sz w:val="24"/>
          <w:szCs w:val="24"/>
          <w:lang w:val="ka-GE"/>
        </w:rPr>
        <w:t xml:space="preserve"> უფრო ხშირად იყენებენ ჯანდაცვ</w:t>
      </w:r>
      <w:r w:rsidR="00804AC8" w:rsidRPr="007D75DB">
        <w:rPr>
          <w:rFonts w:ascii="Sylfaen" w:hAnsi="Sylfaen"/>
          <w:sz w:val="24"/>
          <w:szCs w:val="24"/>
          <w:lang w:val="ka-GE"/>
        </w:rPr>
        <w:t>ი</w:t>
      </w:r>
      <w:r w:rsidRPr="007D75DB">
        <w:rPr>
          <w:rFonts w:ascii="Sylfaen" w:hAnsi="Sylfaen"/>
          <w:sz w:val="24"/>
          <w:szCs w:val="24"/>
          <w:lang w:val="ka-GE"/>
        </w:rPr>
        <w:t>ს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 სერვისებს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97F9B">
        <w:rPr>
          <w:rFonts w:ascii="Sylfaen" w:hAnsi="Sylfaen"/>
          <w:sz w:val="24"/>
          <w:szCs w:val="24"/>
          <w:lang w:val="ka-GE"/>
        </w:rPr>
        <w:t xml:space="preserve"> და</w:t>
      </w:r>
      <w:r w:rsidR="00495D45" w:rsidRPr="007D75DB">
        <w:rPr>
          <w:rFonts w:ascii="Sylfaen" w:hAnsi="Sylfaen"/>
          <w:sz w:val="24"/>
          <w:szCs w:val="24"/>
          <w:lang w:val="ka-GE"/>
        </w:rPr>
        <w:t xml:space="preserve"> მათ </w:t>
      </w:r>
      <w:r w:rsidR="00797F9B">
        <w:rPr>
          <w:rFonts w:ascii="Sylfaen" w:hAnsi="Sylfaen"/>
          <w:sz w:val="24"/>
          <w:szCs w:val="24"/>
          <w:lang w:val="ka-GE"/>
        </w:rPr>
        <w:t xml:space="preserve">ნაკლებად ექმნებათ </w:t>
      </w:r>
      <w:r w:rsidR="00495D45" w:rsidRPr="007D75DB">
        <w:rPr>
          <w:rFonts w:ascii="Sylfaen" w:hAnsi="Sylfaen"/>
          <w:sz w:val="24"/>
          <w:szCs w:val="24"/>
          <w:lang w:val="ka-GE"/>
        </w:rPr>
        <w:t>ფინანსური ბარიერები  სერვისებით სარგებლობის</w:t>
      </w:r>
      <w:r w:rsidR="00FB0919">
        <w:rPr>
          <w:rFonts w:ascii="Sylfaen" w:hAnsi="Sylfaen"/>
          <w:sz w:val="24"/>
          <w:szCs w:val="24"/>
          <w:lang w:val="ka-GE"/>
        </w:rPr>
        <w:t>ას</w:t>
      </w:r>
      <w:r w:rsidR="00495D45" w:rsidRPr="007D75DB">
        <w:rPr>
          <w:rFonts w:ascii="Sylfaen" w:hAnsi="Sylfaen"/>
          <w:sz w:val="24"/>
          <w:szCs w:val="24"/>
          <w:lang w:val="ka-GE"/>
        </w:rPr>
        <w:t xml:space="preserve">, განსაკუთრებით - </w:t>
      </w:r>
      <w:r w:rsidR="00CC22DC" w:rsidRPr="007D75DB">
        <w:rPr>
          <w:rFonts w:ascii="Sylfaen" w:hAnsi="Sylfaen"/>
          <w:sz w:val="24"/>
          <w:szCs w:val="24"/>
          <w:lang w:val="ka-GE"/>
        </w:rPr>
        <w:t>ჰოს</w:t>
      </w:r>
      <w:r w:rsidR="00495D45" w:rsidRPr="007D75DB">
        <w:rPr>
          <w:rFonts w:ascii="Sylfaen" w:hAnsi="Sylfaen"/>
          <w:sz w:val="24"/>
          <w:szCs w:val="24"/>
          <w:lang w:val="ka-GE"/>
        </w:rPr>
        <w:t>პიტალური სერვისების შემთხვევაში.</w:t>
      </w:r>
    </w:p>
    <w:p w14:paraId="5947DEB2" w14:textId="2A742AC8" w:rsidR="003745AA" w:rsidRPr="007D75DB" w:rsidRDefault="00797F9B" w:rsidP="00641F9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ჯანდაცვაზე 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ჯიბიდან </w:t>
      </w:r>
      <w:r>
        <w:rPr>
          <w:rFonts w:ascii="Sylfaen" w:hAnsi="Sylfaen"/>
          <w:sz w:val="24"/>
          <w:szCs w:val="24"/>
          <w:lang w:val="ka-GE"/>
        </w:rPr>
        <w:t>გადახდებთან მიმართებაში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804AC8" w:rsidRPr="007D75DB">
        <w:rPr>
          <w:rFonts w:ascii="Sylfaen" w:hAnsi="Sylfaen"/>
          <w:sz w:val="24"/>
          <w:szCs w:val="24"/>
          <w:lang w:val="ka-GE"/>
        </w:rPr>
        <w:t>ფინანსური დაცულობა გაუმჯობესდა, გა</w:t>
      </w:r>
      <w:r w:rsidR="00FB0919">
        <w:rPr>
          <w:rFonts w:ascii="Sylfaen" w:hAnsi="Sylfaen"/>
          <w:sz w:val="24"/>
          <w:szCs w:val="24"/>
          <w:lang w:val="ka-GE"/>
        </w:rPr>
        <w:t>ნს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აკუთრებით - ჰოსპიტალური მომსახურების შემთხვევაში. შედეგად, უფრო ნაკლები შინამეურნეობა </w:t>
      </w:r>
      <w:r w:rsidR="00BD5808" w:rsidRPr="007D75DB">
        <w:rPr>
          <w:rFonts w:ascii="Sylfaen" w:hAnsi="Sylfaen"/>
          <w:sz w:val="24"/>
          <w:szCs w:val="24"/>
          <w:lang w:val="ka-GE"/>
        </w:rPr>
        <w:t>განიც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დის ფინანსურ სიძნელეს ჯანდაცვის </w:t>
      </w:r>
      <w:r w:rsidRPr="007D75DB">
        <w:rPr>
          <w:rFonts w:ascii="Sylfaen" w:hAnsi="Sylfaen"/>
          <w:sz w:val="24"/>
          <w:szCs w:val="24"/>
          <w:lang w:val="ka-GE"/>
        </w:rPr>
        <w:t>მომსახურებ</w:t>
      </w:r>
      <w:r>
        <w:rPr>
          <w:rFonts w:ascii="Sylfaen" w:hAnsi="Sylfaen"/>
          <w:sz w:val="24"/>
          <w:szCs w:val="24"/>
          <w:lang w:val="ka-GE"/>
        </w:rPr>
        <w:t>ასა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და </w:t>
      </w:r>
      <w:r w:rsidRPr="007D75DB">
        <w:rPr>
          <w:rFonts w:ascii="Sylfaen" w:hAnsi="Sylfaen"/>
          <w:sz w:val="24"/>
          <w:szCs w:val="24"/>
          <w:lang w:val="ka-GE"/>
        </w:rPr>
        <w:t>მედიკამენტებ</w:t>
      </w:r>
      <w:r>
        <w:rPr>
          <w:rFonts w:ascii="Sylfaen" w:hAnsi="Sylfaen"/>
          <w:sz w:val="24"/>
          <w:szCs w:val="24"/>
          <w:lang w:val="ka-GE"/>
        </w:rPr>
        <w:t>ზე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დანახარჯების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3745AA" w:rsidRPr="007D75DB">
        <w:rPr>
          <w:rFonts w:ascii="Sylfaen" w:hAnsi="Sylfaen"/>
          <w:sz w:val="24"/>
          <w:szCs w:val="24"/>
          <w:lang w:val="ka-GE"/>
        </w:rPr>
        <w:t>გამო მათი გამოყენების შემთ</w:t>
      </w:r>
      <w:r w:rsidR="00FB0919">
        <w:rPr>
          <w:rFonts w:ascii="Sylfaen" w:hAnsi="Sylfaen"/>
          <w:sz w:val="24"/>
          <w:szCs w:val="24"/>
          <w:lang w:val="ka-GE"/>
        </w:rPr>
        <w:t>ხ</w:t>
      </w:r>
      <w:r w:rsidR="003745AA" w:rsidRPr="007D75DB">
        <w:rPr>
          <w:rFonts w:ascii="Sylfaen" w:hAnsi="Sylfaen"/>
          <w:sz w:val="24"/>
          <w:szCs w:val="24"/>
          <w:lang w:val="ka-GE"/>
        </w:rPr>
        <w:t>ვ</w:t>
      </w:r>
      <w:r w:rsidR="00FB0919">
        <w:rPr>
          <w:rFonts w:ascii="Sylfaen" w:hAnsi="Sylfaen"/>
          <w:sz w:val="24"/>
          <w:szCs w:val="24"/>
          <w:lang w:val="ka-GE"/>
        </w:rPr>
        <w:t>ე</w:t>
      </w:r>
      <w:r w:rsidR="003745AA" w:rsidRPr="007D75DB">
        <w:rPr>
          <w:rFonts w:ascii="Sylfaen" w:hAnsi="Sylfaen"/>
          <w:sz w:val="24"/>
          <w:szCs w:val="24"/>
          <w:lang w:val="ka-GE"/>
        </w:rPr>
        <w:t>ვაში.</w:t>
      </w:r>
      <w:r w:rsidR="00804AC8" w:rsidRPr="007D75DB">
        <w:rPr>
          <w:rFonts w:ascii="Sylfaen" w:hAnsi="Sylfaen"/>
          <w:sz w:val="24"/>
          <w:szCs w:val="24"/>
          <w:lang w:val="ka-GE"/>
        </w:rPr>
        <w:t xml:space="preserve"> </w:t>
      </w:r>
    </w:p>
    <w:p w14:paraId="35373F9C" w14:textId="639DA8D3" w:rsidR="003745AA" w:rsidRPr="007D75DB" w:rsidRDefault="003745AA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უფრო მეტი ადამიანისთვის</w:t>
      </w:r>
      <w:r w:rsidR="00797F9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97F9B" w:rsidRPr="007D75DB">
        <w:rPr>
          <w:rFonts w:ascii="Sylfaen" w:hAnsi="Sylfaen" w:cs="Sylfaen"/>
          <w:b/>
          <w:sz w:val="24"/>
          <w:szCs w:val="24"/>
          <w:lang w:val="ka-GE"/>
        </w:rPr>
        <w:t>უფრო</w:t>
      </w:r>
      <w:r w:rsidR="00797F9B" w:rsidRPr="007D75DB">
        <w:rPr>
          <w:rFonts w:ascii="Sylfaen" w:hAnsi="Sylfaen"/>
          <w:b/>
          <w:sz w:val="24"/>
          <w:szCs w:val="24"/>
          <w:lang w:val="ka-GE"/>
        </w:rPr>
        <w:t xml:space="preserve"> მეტი ჯანდაცვის სერვისის მიწოდებამ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97F9B">
        <w:rPr>
          <w:rFonts w:ascii="Sylfaen" w:hAnsi="Sylfaen"/>
          <w:b/>
          <w:sz w:val="24"/>
          <w:szCs w:val="24"/>
          <w:lang w:val="ka-GE"/>
        </w:rPr>
        <w:t xml:space="preserve">განაპირობა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დამატებითი სახელმწიფო </w:t>
      </w:r>
      <w:r w:rsidR="00797F9B">
        <w:rPr>
          <w:rFonts w:ascii="Sylfaen" w:hAnsi="Sylfaen"/>
          <w:b/>
          <w:sz w:val="24"/>
          <w:szCs w:val="24"/>
          <w:lang w:val="ka-GE"/>
        </w:rPr>
        <w:t xml:space="preserve">თანხების </w:t>
      </w:r>
      <w:r w:rsidRPr="007D75DB">
        <w:rPr>
          <w:rFonts w:ascii="Sylfaen" w:hAnsi="Sylfaen"/>
          <w:b/>
          <w:sz w:val="24"/>
          <w:szCs w:val="24"/>
          <w:lang w:val="ka-GE"/>
        </w:rPr>
        <w:t>ინვესტირება. სახელმწიფო დანახარჯების გაზრდა მოკრძალებული იყ</w:t>
      </w:r>
      <w:r w:rsidR="00FB0919">
        <w:rPr>
          <w:rFonts w:ascii="Sylfaen" w:hAnsi="Sylfaen"/>
          <w:b/>
          <w:sz w:val="24"/>
          <w:szCs w:val="24"/>
          <w:lang w:val="ka-GE"/>
        </w:rPr>
        <w:t>ო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სერვისის მიწოდებასა და მოცვასთან შედარებით</w:t>
      </w:r>
    </w:p>
    <w:p w14:paraId="2390218F" w14:textId="69349895" w:rsidR="003745AA" w:rsidRPr="007D75DB" w:rsidRDefault="003745AA" w:rsidP="00641F9E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2012 და 2014 </w:t>
      </w:r>
      <w:r w:rsidR="00470AFB">
        <w:rPr>
          <w:rFonts w:ascii="Sylfaen" w:hAnsi="Sylfaen"/>
          <w:sz w:val="24"/>
          <w:szCs w:val="24"/>
          <w:lang w:val="ka-GE"/>
        </w:rPr>
        <w:t>წლებში</w:t>
      </w:r>
      <w:r w:rsidRPr="007D75DB">
        <w:rPr>
          <w:rFonts w:ascii="Sylfaen" w:hAnsi="Sylfaen"/>
          <w:sz w:val="24"/>
          <w:szCs w:val="24"/>
          <w:lang w:val="ka-GE"/>
        </w:rPr>
        <w:t xml:space="preserve"> მოსახლეობის წილი, </w:t>
      </w:r>
      <w:r w:rsidR="00633208">
        <w:rPr>
          <w:rFonts w:ascii="Sylfaen" w:hAnsi="Sylfaen"/>
          <w:sz w:val="24"/>
          <w:szCs w:val="24"/>
          <w:lang w:val="ka-GE"/>
        </w:rPr>
        <w:t>რომ</w:t>
      </w:r>
      <w:r w:rsidR="00470AFB">
        <w:rPr>
          <w:rFonts w:ascii="Sylfaen" w:hAnsi="Sylfaen"/>
          <w:sz w:val="24"/>
          <w:szCs w:val="24"/>
          <w:lang w:val="ka-GE"/>
        </w:rPr>
        <w:t>ლ</w:t>
      </w:r>
      <w:r w:rsidR="00633208">
        <w:rPr>
          <w:rFonts w:ascii="Sylfaen" w:hAnsi="Sylfaen"/>
          <w:sz w:val="24"/>
          <w:szCs w:val="24"/>
          <w:lang w:val="ka-GE"/>
        </w:rPr>
        <w:t>ე</w:t>
      </w:r>
      <w:r w:rsidR="00470AFB">
        <w:rPr>
          <w:rFonts w:ascii="Sylfaen" w:hAnsi="Sylfaen"/>
          <w:sz w:val="24"/>
          <w:szCs w:val="24"/>
          <w:lang w:val="ka-GE"/>
        </w:rPr>
        <w:t>ბიც მოცულნი იყვნენ</w:t>
      </w:r>
      <w:r w:rsidRPr="007D75DB">
        <w:rPr>
          <w:rFonts w:ascii="Sylfaen" w:hAnsi="Sylfaen"/>
          <w:sz w:val="24"/>
          <w:szCs w:val="24"/>
          <w:lang w:val="ka-GE"/>
        </w:rPr>
        <w:t xml:space="preserve"> სახელმწიფოს მიერ დაფინანსებულ</w:t>
      </w:r>
      <w:r w:rsidR="00470AFB">
        <w:rPr>
          <w:rFonts w:ascii="Sylfaen" w:hAnsi="Sylfaen"/>
          <w:sz w:val="24"/>
          <w:szCs w:val="24"/>
          <w:lang w:val="ka-GE"/>
        </w:rPr>
        <w:t>ი</w:t>
      </w:r>
      <w:r w:rsidRPr="007D75DB">
        <w:rPr>
          <w:rFonts w:ascii="Sylfaen" w:hAnsi="Sylfaen"/>
          <w:sz w:val="24"/>
          <w:szCs w:val="24"/>
          <w:lang w:val="ka-GE"/>
        </w:rPr>
        <w:t xml:space="preserve"> ჯანდაცვი</w:t>
      </w:r>
      <w:r w:rsidR="00470AFB">
        <w:rPr>
          <w:rFonts w:ascii="Sylfaen" w:hAnsi="Sylfaen"/>
          <w:sz w:val="24"/>
          <w:szCs w:val="24"/>
          <w:lang w:val="ka-GE"/>
        </w:rPr>
        <w:t>ს სერვისებით</w:t>
      </w:r>
      <w:r w:rsidRPr="007D75DB">
        <w:rPr>
          <w:rFonts w:ascii="Sylfaen" w:hAnsi="Sylfaen"/>
          <w:sz w:val="24"/>
          <w:szCs w:val="24"/>
          <w:lang w:val="ka-GE"/>
        </w:rPr>
        <w:t xml:space="preserve">, ორჯერ უფრო მეტად </w:t>
      </w:r>
      <w:r w:rsidR="00470AFB" w:rsidRPr="007D75DB">
        <w:rPr>
          <w:rFonts w:ascii="Sylfaen" w:hAnsi="Sylfaen"/>
          <w:sz w:val="24"/>
          <w:szCs w:val="24"/>
          <w:lang w:val="ka-GE"/>
        </w:rPr>
        <w:t>გაიზარდა</w:t>
      </w:r>
      <w:r w:rsidR="00470AFB">
        <w:rPr>
          <w:rFonts w:ascii="Sylfaen" w:hAnsi="Sylfaen"/>
          <w:sz w:val="24"/>
          <w:szCs w:val="24"/>
          <w:lang w:val="ka-GE"/>
        </w:rPr>
        <w:t xml:space="preserve"> -</w:t>
      </w:r>
      <w:r w:rsidR="00470AF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41%-დან 91%-მდე. </w:t>
      </w:r>
      <w:r w:rsidR="00470AFB">
        <w:rPr>
          <w:rFonts w:ascii="Sylfaen" w:hAnsi="Sylfaen"/>
          <w:sz w:val="24"/>
          <w:szCs w:val="24"/>
          <w:lang w:val="ka-GE"/>
        </w:rPr>
        <w:t>აღნიშნულთან</w:t>
      </w:r>
      <w:r w:rsidR="00633208">
        <w:rPr>
          <w:rFonts w:ascii="Sylfaen" w:hAnsi="Sylfaen"/>
          <w:sz w:val="24"/>
          <w:szCs w:val="24"/>
          <w:lang w:val="ka-GE"/>
        </w:rPr>
        <w:t xml:space="preserve"> </w:t>
      </w:r>
      <w:r w:rsidR="00470AFB">
        <w:rPr>
          <w:rFonts w:ascii="Sylfaen" w:hAnsi="Sylfaen"/>
          <w:sz w:val="24"/>
          <w:szCs w:val="24"/>
          <w:lang w:val="ka-GE"/>
        </w:rPr>
        <w:t xml:space="preserve">შედარებით </w:t>
      </w:r>
      <w:r w:rsidR="00470AFB" w:rsidRPr="007D75DB">
        <w:rPr>
          <w:rFonts w:ascii="Sylfaen" w:hAnsi="Sylfaen"/>
          <w:sz w:val="24"/>
          <w:szCs w:val="24"/>
          <w:lang w:val="ka-GE"/>
        </w:rPr>
        <w:t xml:space="preserve">მოკრძალებული იყო </w:t>
      </w:r>
      <w:r w:rsidRPr="007D75DB">
        <w:rPr>
          <w:rFonts w:ascii="Sylfaen" w:hAnsi="Sylfaen"/>
          <w:sz w:val="24"/>
          <w:szCs w:val="24"/>
          <w:lang w:val="ka-GE"/>
        </w:rPr>
        <w:t xml:space="preserve"> სახელმწიფო დანახარჯების </w:t>
      </w:r>
      <w:r w:rsidR="00470AFB" w:rsidRPr="007D75DB">
        <w:rPr>
          <w:rFonts w:ascii="Sylfaen" w:hAnsi="Sylfaen"/>
          <w:sz w:val="24"/>
          <w:szCs w:val="24"/>
          <w:lang w:val="ka-GE"/>
        </w:rPr>
        <w:t>ზრდ</w:t>
      </w:r>
      <w:r w:rsidR="00470AFB">
        <w:rPr>
          <w:rFonts w:ascii="Sylfaen" w:hAnsi="Sylfaen"/>
          <w:sz w:val="24"/>
          <w:szCs w:val="24"/>
          <w:lang w:val="ka-GE"/>
        </w:rPr>
        <w:t>ა</w:t>
      </w:r>
      <w:r w:rsidR="00470AF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>(გრაფიკი 1).</w:t>
      </w:r>
    </w:p>
    <w:p w14:paraId="6B643547" w14:textId="77777777" w:rsidR="0096438E" w:rsidRDefault="0096438E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CE6D17" w14:textId="77777777" w:rsidR="00633208" w:rsidRDefault="00633208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73BC07C" w14:textId="77777777" w:rsidR="00633208" w:rsidRDefault="00633208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A540035" w14:textId="77777777" w:rsidR="00633208" w:rsidRDefault="00633208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E5CC5D2" w14:textId="3231A6F6" w:rsidR="003745AA" w:rsidRDefault="003745AA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lastRenderedPageBreak/>
        <w:t xml:space="preserve">გრაფიკი 1: </w:t>
      </w:r>
      <w:r w:rsidR="00470AFB">
        <w:rPr>
          <w:rFonts w:ascii="Sylfaen" w:hAnsi="Sylfaen"/>
          <w:b/>
          <w:sz w:val="24"/>
          <w:szCs w:val="24"/>
          <w:lang w:val="ka-GE"/>
        </w:rPr>
        <w:t xml:space="preserve">სერვისებით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მოცვისა და </w:t>
      </w:r>
      <w:r w:rsidR="00470AFB">
        <w:rPr>
          <w:rFonts w:ascii="Sylfaen" w:hAnsi="Sylfaen"/>
          <w:b/>
          <w:sz w:val="24"/>
          <w:szCs w:val="24"/>
          <w:lang w:val="ka-GE"/>
        </w:rPr>
        <w:t>ჯანდაცვაზე დანახარჯების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ცვლილება 2012 და 2014 წლებ</w:t>
      </w:r>
      <w:r w:rsidR="00470AFB">
        <w:rPr>
          <w:rFonts w:ascii="Sylfaen" w:hAnsi="Sylfaen"/>
          <w:b/>
          <w:sz w:val="24"/>
          <w:szCs w:val="24"/>
          <w:lang w:val="ka-GE"/>
        </w:rPr>
        <w:t>ში</w:t>
      </w:r>
    </w:p>
    <w:p w14:paraId="7704DD70" w14:textId="77777777" w:rsidR="00470AFB" w:rsidRDefault="00470AFB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0AFFC8A" w14:textId="76000A0C" w:rsidR="00470AFB" w:rsidRDefault="00470AFB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drawing>
          <wp:inline distT="0" distB="0" distL="0" distR="0" wp14:anchorId="7A8E6B43" wp14:editId="32170CE0">
            <wp:extent cx="5876925" cy="201930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AC6985" w14:textId="77777777" w:rsidR="00A530BE" w:rsidRPr="00C432FB" w:rsidRDefault="00A530BE" w:rsidP="00641F9E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432FB">
        <w:rPr>
          <w:rFonts w:ascii="Sylfaen" w:hAnsi="Sylfaen"/>
          <w:sz w:val="20"/>
          <w:szCs w:val="20"/>
          <w:lang w:val="ka-GE"/>
        </w:rPr>
        <w:t>წყარო: შრომის, ჯანმრთელობისა და სოციალური დაცვის სამინისტრო</w:t>
      </w:r>
    </w:p>
    <w:p w14:paraId="364A0B31" w14:textId="1FBB3745" w:rsidR="00D633B6" w:rsidRPr="00D633B6" w:rsidRDefault="00D633B6" w:rsidP="00D633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val="ka-GE"/>
        </w:rPr>
      </w:pPr>
      <w:r w:rsidRPr="00D633B6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შემთხვევის ერთეულის</w:t>
      </w:r>
      <w:r w:rsidRPr="00D633B6">
        <w:rPr>
          <w:rFonts w:ascii="inherit" w:eastAsia="Times New Roman" w:hAnsi="inherit" w:cs="Courier New"/>
          <w:color w:val="212121"/>
          <w:sz w:val="24"/>
          <w:szCs w:val="24"/>
          <w:lang w:val="ka-GE"/>
        </w:rPr>
        <w:t xml:space="preserve"> </w:t>
      </w:r>
      <w:r w:rsidR="005A7E77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ფასი</w:t>
      </w:r>
      <w:r w:rsidRPr="00D633B6">
        <w:rPr>
          <w:rFonts w:ascii="inherit" w:eastAsia="Times New Roman" w:hAnsi="inherit" w:cs="Courier New"/>
          <w:color w:val="212121"/>
          <w:sz w:val="24"/>
          <w:szCs w:val="24"/>
          <w:lang w:val="ka-GE"/>
        </w:rPr>
        <w:t xml:space="preserve"> </w:t>
      </w:r>
      <w:r w:rsidRPr="00D633B6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ასევე</w:t>
      </w:r>
      <w:r w:rsidRPr="00D633B6">
        <w:rPr>
          <w:rFonts w:ascii="inherit" w:eastAsia="Times New Roman" w:hAnsi="inherit" w:cs="Courier New"/>
          <w:color w:val="212121"/>
          <w:sz w:val="24"/>
          <w:szCs w:val="24"/>
          <w:lang w:val="ka-GE"/>
        </w:rPr>
        <w:t xml:space="preserve"> </w:t>
      </w:r>
      <w:r w:rsidRPr="00D633B6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დაეცა, რომელიც მიუთითებს რესურსების ეფექტურ ხარჯვაზე. 2013 და 2015 წლებში, საყოველთაო ჯანდაცვის პროგრამით დაფინანსებული შემთხვევათა რაოდენობა გაიზარდა მაშინ როცა შემთ</w:t>
      </w:r>
      <w:r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ხვევების საშუალო ხარჯი შემცირდა (გრაფიკი 2).</w:t>
      </w:r>
    </w:p>
    <w:p w14:paraId="2558E1FE" w14:textId="77777777" w:rsidR="00C432FB" w:rsidRPr="00D633B6" w:rsidRDefault="00C432FB" w:rsidP="00641F9E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</w:p>
    <w:p w14:paraId="5DE29C79" w14:textId="2FB6B5E1" w:rsidR="00A530BE" w:rsidRPr="007D75DB" w:rsidRDefault="00A530BE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გრაფიკი 2: საყოველთო ჯანდაცვის პროგრამით დაფინანსებული  შემთხვევ</w:t>
      </w:r>
      <w:r w:rsidR="00470AFB">
        <w:rPr>
          <w:rFonts w:ascii="Sylfaen" w:hAnsi="Sylfaen"/>
          <w:b/>
          <w:sz w:val="24"/>
          <w:szCs w:val="24"/>
          <w:lang w:val="ka-GE"/>
        </w:rPr>
        <w:t>ების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საშუალო ხარჯი, 2013-2015</w:t>
      </w:r>
    </w:p>
    <w:p w14:paraId="5999A792" w14:textId="69E9F928" w:rsidR="0096438E" w:rsidRPr="00EB577D" w:rsidRDefault="00470AFB" w:rsidP="0096438E">
      <w:pPr>
        <w:rPr>
          <w:rFonts w:ascii="Arial" w:hAnsi="Arial" w:cs="Arial"/>
          <w:b/>
          <w:sz w:val="20"/>
          <w:szCs w:val="20"/>
        </w:rPr>
      </w:pPr>
      <w:r w:rsidRPr="00470AFB"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D7219" wp14:editId="4FFD48F5">
                <wp:simplePos x="0" y="0"/>
                <wp:positionH relativeFrom="column">
                  <wp:posOffset>762000</wp:posOffset>
                </wp:positionH>
                <wp:positionV relativeFrom="paragraph">
                  <wp:posOffset>1748790</wp:posOffset>
                </wp:positionV>
                <wp:extent cx="525780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16B5" w14:textId="011DE2B2" w:rsidR="00AC0F1D" w:rsidRPr="00470AFB" w:rsidRDefault="00AC0F1D" w:rsidP="00470AF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კარდიო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გადაუდებელი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  <w:t>ქიმიო-,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გეგმიური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მშობიარობა</w:t>
                            </w:r>
                          </w:p>
                          <w:p w14:paraId="19C62A57" w14:textId="4C126A70" w:rsidR="00AC0F1D" w:rsidRPr="00470AFB" w:rsidRDefault="00AC0F1D" w:rsidP="00470AF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ქირურგია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ჰოსპიტალიზაცია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  <w:t>ჰორმონო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-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ქირურგია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და საკეისრო</w:t>
                            </w:r>
                          </w:p>
                          <w:p w14:paraId="1299FEC6" w14:textId="0EF0ACDE" w:rsidR="00AC0F1D" w:rsidRPr="00470AFB" w:rsidRDefault="00AC0F1D" w:rsidP="00470AF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და სხივური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  <w:t xml:space="preserve">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კვეთა</w:t>
                            </w:r>
                          </w:p>
                          <w:p w14:paraId="69796209" w14:textId="42247CF7" w:rsidR="00AC0F1D" w:rsidRPr="00470AFB" w:rsidRDefault="00AC0F1D" w:rsidP="00470AFB">
                            <w:pPr>
                              <w:spacing w:after="0" w:line="240" w:lineRule="auto"/>
                              <w:ind w:left="1440"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               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თერაპია</w:t>
                            </w:r>
                            <w:r w:rsidRPr="00470AFB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D7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37.7pt;width:41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" fillcolor="white [3212]" stroked="f">
                <v:textbox style="mso-fit-shape-to-text:t">
                  <w:txbxContent>
                    <w:p w14:paraId="631C16B5" w14:textId="011DE2B2" w:rsidR="00AC0F1D" w:rsidRPr="00470AFB" w:rsidRDefault="00AC0F1D" w:rsidP="00470AF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კარდიო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გადაუდებელი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  <w:t>ქიმიო-,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გეგმიური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მშობიარობა</w:t>
                      </w:r>
                    </w:p>
                    <w:p w14:paraId="19C62A57" w14:textId="4C126A70" w:rsidR="00AC0F1D" w:rsidRPr="00470AFB" w:rsidRDefault="00AC0F1D" w:rsidP="00470AF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ქირურგია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ჰოსპიტალიზაცია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  <w:t>ჰორმონო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-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ქირურგია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და საკეისრო</w:t>
                      </w:r>
                    </w:p>
                    <w:p w14:paraId="1299FEC6" w14:textId="0EF0ACDE" w:rsidR="00AC0F1D" w:rsidRPr="00470AFB" w:rsidRDefault="00AC0F1D" w:rsidP="00470AF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და სხივური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  <w:t xml:space="preserve">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კვეთა</w:t>
                      </w:r>
                    </w:p>
                    <w:p w14:paraId="69796209" w14:textId="42247CF7" w:rsidR="00AC0F1D" w:rsidRPr="00470AFB" w:rsidRDefault="00AC0F1D" w:rsidP="00470AFB">
                      <w:pPr>
                        <w:spacing w:after="0" w:line="240" w:lineRule="auto"/>
                        <w:ind w:left="1440" w:firstLine="720"/>
                        <w:rPr>
                          <w:sz w:val="18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               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>თერაპია</w:t>
                      </w:r>
                      <w:r w:rsidRPr="00470AFB">
                        <w:rPr>
                          <w:rFonts w:ascii="Sylfaen" w:hAnsi="Sylfaen"/>
                          <w:sz w:val="18"/>
                          <w:lang w:val="ka-G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6438E" w:rsidRPr="00EB577D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02E8623" wp14:editId="13DC9567">
            <wp:extent cx="5295900" cy="244792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8C4239" w14:textId="2B57C41B" w:rsidR="00633208" w:rsidRPr="00D633B6" w:rsidRDefault="00A530BE" w:rsidP="00641F9E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432FB">
        <w:rPr>
          <w:rFonts w:ascii="Sylfaen" w:hAnsi="Sylfaen"/>
          <w:sz w:val="20"/>
          <w:szCs w:val="20"/>
          <w:lang w:val="ka-GE"/>
        </w:rPr>
        <w:t>წყარო: შრომის, ჯანმრთელობისა და სოციალური დაცვის სამინისტრო: 2015 წლის მონაცემი მოიცავს მხოლოდ იანვრიდან ივლისამდე პერიოდს.</w:t>
      </w:r>
    </w:p>
    <w:p w14:paraId="02BBAA61" w14:textId="29EA73F3" w:rsidR="00A530BE" w:rsidRPr="007D75DB" w:rsidRDefault="00A530B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lastRenderedPageBreak/>
        <w:t xml:space="preserve">მნიშვნელოვანი გამოწვევები </w:t>
      </w:r>
      <w:r w:rsidR="00470AFB">
        <w:rPr>
          <w:rFonts w:ascii="Sylfaen" w:hAnsi="Sylfaen"/>
          <w:b/>
          <w:sz w:val="24"/>
          <w:szCs w:val="24"/>
          <w:lang w:val="ka-GE"/>
        </w:rPr>
        <w:t xml:space="preserve">კვლავ </w:t>
      </w:r>
      <w:r w:rsidRPr="007D75DB">
        <w:rPr>
          <w:rFonts w:ascii="Sylfaen" w:hAnsi="Sylfaen"/>
          <w:b/>
          <w:sz w:val="24"/>
          <w:szCs w:val="24"/>
          <w:lang w:val="ka-GE"/>
        </w:rPr>
        <w:t>რჩება</w:t>
      </w:r>
      <w:r w:rsidR="00470AFB">
        <w:rPr>
          <w:rFonts w:ascii="Sylfaen" w:hAnsi="Sylfaen"/>
          <w:b/>
          <w:sz w:val="24"/>
          <w:szCs w:val="24"/>
          <w:lang w:val="ka-GE"/>
        </w:rPr>
        <w:t>, თუმცა ქვეყნის</w:t>
      </w:r>
      <w:r w:rsidR="00661B3A" w:rsidRPr="007D75DB">
        <w:rPr>
          <w:rFonts w:ascii="Sylfaen" w:hAnsi="Sylfaen"/>
          <w:b/>
          <w:sz w:val="24"/>
          <w:szCs w:val="24"/>
          <w:lang w:val="ka-GE"/>
        </w:rPr>
        <w:t xml:space="preserve"> ჯანდაცვის სისტემა </w:t>
      </w:r>
      <w:r w:rsidR="00470AFB">
        <w:rPr>
          <w:rFonts w:ascii="Sylfaen" w:hAnsi="Sylfaen"/>
          <w:b/>
          <w:sz w:val="24"/>
          <w:szCs w:val="24"/>
          <w:lang w:val="ka-GE"/>
        </w:rPr>
        <w:t>მზადაა</w:t>
      </w:r>
      <w:r w:rsidR="00661B3A" w:rsidRPr="007D75DB">
        <w:rPr>
          <w:rFonts w:ascii="Sylfaen" w:hAnsi="Sylfaen"/>
          <w:b/>
          <w:sz w:val="24"/>
          <w:szCs w:val="24"/>
          <w:lang w:val="ka-GE"/>
        </w:rPr>
        <w:t xml:space="preserve"> ამ გამოწვევებზე საპასუხოდ </w:t>
      </w:r>
      <w:r w:rsidR="00470AFB">
        <w:rPr>
          <w:rFonts w:ascii="Sylfaen" w:hAnsi="Sylfaen"/>
          <w:b/>
          <w:sz w:val="24"/>
          <w:szCs w:val="24"/>
          <w:lang w:val="ka-GE"/>
        </w:rPr>
        <w:t>მომდევნო</w:t>
      </w:r>
      <w:r w:rsidR="00661B3A"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0AFB" w:rsidRPr="007D75DB">
        <w:rPr>
          <w:rFonts w:ascii="Sylfaen" w:hAnsi="Sylfaen"/>
          <w:b/>
          <w:sz w:val="24"/>
          <w:szCs w:val="24"/>
          <w:lang w:val="ka-GE"/>
        </w:rPr>
        <w:t>წლებ</w:t>
      </w:r>
      <w:r w:rsidR="00470AFB">
        <w:rPr>
          <w:rFonts w:ascii="Sylfaen" w:hAnsi="Sylfaen"/>
          <w:b/>
          <w:sz w:val="24"/>
          <w:szCs w:val="24"/>
          <w:lang w:val="ka-GE"/>
        </w:rPr>
        <w:t>ში</w:t>
      </w:r>
    </w:p>
    <w:p w14:paraId="7483F220" w14:textId="20020BAE" w:rsidR="00661B3A" w:rsidRPr="007D75DB" w:rsidRDefault="00661B3A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 xml:space="preserve">საყოველთაო ჯანდაცვის ძირითად ინდიკატორებში მიღწეული პროგრესის </w:t>
      </w:r>
      <w:r w:rsidRPr="00C36F6A">
        <w:rPr>
          <w:rFonts w:ascii="Sylfaen" w:hAnsi="Sylfaen"/>
          <w:b/>
          <w:sz w:val="24"/>
          <w:szCs w:val="24"/>
          <w:lang w:val="ka-GE"/>
        </w:rPr>
        <w:t>მიუხედავად,</w:t>
      </w:r>
      <w:r w:rsidR="00680F8D" w:rsidRPr="00C36F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0AFB">
        <w:rPr>
          <w:rFonts w:ascii="Sylfaen" w:hAnsi="Sylfaen"/>
          <w:b/>
          <w:sz w:val="24"/>
          <w:szCs w:val="24"/>
          <w:lang w:val="ka-GE"/>
        </w:rPr>
        <w:t xml:space="preserve">ეფექტიანობის </w:t>
      </w:r>
      <w:r w:rsidR="00680F8D" w:rsidRPr="00C36F6A">
        <w:rPr>
          <w:rFonts w:ascii="Sylfaen" w:hAnsi="Sylfaen"/>
          <w:b/>
          <w:sz w:val="24"/>
          <w:szCs w:val="24"/>
          <w:lang w:val="ka-GE"/>
        </w:rPr>
        <w:t>მხრივ</w:t>
      </w:r>
      <w:r w:rsidR="00470AFB">
        <w:rPr>
          <w:rFonts w:ascii="Sylfaen" w:hAnsi="Sylfaen"/>
          <w:b/>
          <w:sz w:val="24"/>
          <w:szCs w:val="24"/>
          <w:lang w:val="ka-GE"/>
        </w:rPr>
        <w:t>,</w:t>
      </w:r>
      <w:r w:rsidR="00680F8D" w:rsidRPr="00C36F6A">
        <w:rPr>
          <w:rFonts w:ascii="Sylfaen" w:hAnsi="Sylfaen"/>
          <w:b/>
          <w:sz w:val="24"/>
          <w:szCs w:val="24"/>
          <w:lang w:val="ka-GE"/>
        </w:rPr>
        <w:t xml:space="preserve"> საქართველო ჯერ კიდევ ერთი ნაბიჯით </w:t>
      </w:r>
      <w:r w:rsidR="00680F8D" w:rsidRPr="007D75DB">
        <w:rPr>
          <w:rFonts w:ascii="Sylfaen" w:hAnsi="Sylfaen"/>
          <w:b/>
          <w:sz w:val="24"/>
          <w:szCs w:val="24"/>
          <w:lang w:val="ka-GE"/>
        </w:rPr>
        <w:t xml:space="preserve">ჩამორჩება </w:t>
      </w:r>
      <w:r w:rsidR="00470AFB">
        <w:rPr>
          <w:rFonts w:ascii="Sylfaen" w:hAnsi="Sylfaen"/>
          <w:b/>
          <w:sz w:val="24"/>
          <w:szCs w:val="24"/>
          <w:lang w:val="ka-GE"/>
        </w:rPr>
        <w:t xml:space="preserve">ევროპის </w:t>
      </w:r>
      <w:r w:rsidR="00680F8D" w:rsidRPr="007D75DB">
        <w:rPr>
          <w:rFonts w:ascii="Sylfaen" w:hAnsi="Sylfaen"/>
          <w:b/>
          <w:sz w:val="24"/>
          <w:szCs w:val="24"/>
          <w:lang w:val="ka-GE"/>
        </w:rPr>
        <w:t>რეგიონის სხვა ქვეყნებს</w:t>
      </w:r>
    </w:p>
    <w:p w14:paraId="04EC99E3" w14:textId="1705CFAA" w:rsidR="00680F8D" w:rsidRPr="007D75DB" w:rsidRDefault="00680F8D" w:rsidP="00641F9E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სერვისების გამოყენება </w:t>
      </w:r>
      <w:r w:rsidR="006E58C8">
        <w:rPr>
          <w:rFonts w:ascii="Sylfaen" w:hAnsi="Sylfaen"/>
          <w:sz w:val="24"/>
          <w:szCs w:val="24"/>
          <w:lang w:val="ka-GE"/>
        </w:rPr>
        <w:t>გაიზარდა</w:t>
      </w:r>
      <w:r w:rsidRPr="007D75DB">
        <w:rPr>
          <w:rFonts w:ascii="Sylfaen" w:hAnsi="Sylfaen"/>
          <w:sz w:val="24"/>
          <w:szCs w:val="24"/>
          <w:lang w:val="ka-GE"/>
        </w:rPr>
        <w:t xml:space="preserve">, თუმცა ჯერ კიდევ დაბალი რჩება, თუნდაც </w:t>
      </w:r>
      <w:r w:rsidR="006E58C8">
        <w:rPr>
          <w:rFonts w:ascii="Sylfaen" w:hAnsi="Sylfaen"/>
          <w:sz w:val="24"/>
          <w:szCs w:val="24"/>
          <w:lang w:val="ka-GE"/>
        </w:rPr>
        <w:t xml:space="preserve">ევროპის </w:t>
      </w:r>
      <w:r w:rsidRPr="007D75DB">
        <w:rPr>
          <w:rFonts w:ascii="Sylfaen" w:hAnsi="Sylfaen"/>
          <w:sz w:val="24"/>
          <w:szCs w:val="24"/>
          <w:lang w:val="ka-GE"/>
        </w:rPr>
        <w:t xml:space="preserve">რეგიონის საშუალო შემოსავლების მქონე ქვეყნების </w:t>
      </w:r>
      <w:r w:rsidR="009F787A">
        <w:rPr>
          <w:rFonts w:ascii="Sylfaen" w:hAnsi="Sylfaen"/>
          <w:sz w:val="24"/>
          <w:szCs w:val="24"/>
          <w:lang w:val="ka-GE"/>
        </w:rPr>
        <w:t>სტანდარტებით</w:t>
      </w:r>
      <w:r w:rsidRPr="007D75DB">
        <w:rPr>
          <w:rFonts w:ascii="Sylfaen" w:hAnsi="Sylfaen"/>
          <w:sz w:val="24"/>
          <w:szCs w:val="24"/>
          <w:lang w:val="ka-GE"/>
        </w:rPr>
        <w:t>, განსაკუთრებით - ამბულატორიულ მომსახურებაზე (გრაფიკი 3).</w:t>
      </w:r>
    </w:p>
    <w:p w14:paraId="03D83F02" w14:textId="0157823D" w:rsidR="00160A37" w:rsidRPr="007D75DB" w:rsidRDefault="006E58C8" w:rsidP="00641F9E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სერვისებზე</w:t>
      </w:r>
      <w:r w:rsidR="00680F8D" w:rsidRPr="007D75DB">
        <w:rPr>
          <w:rFonts w:ascii="Sylfaen" w:hAnsi="Sylfaen"/>
          <w:sz w:val="24"/>
          <w:szCs w:val="24"/>
          <w:lang w:val="ka-GE"/>
        </w:rPr>
        <w:t xml:space="preserve"> ფასით გამოწვეული დაუკმაყოფილებელი საჭიროება მაღ</w:t>
      </w:r>
      <w:r w:rsidR="00C81464" w:rsidRPr="007D75DB">
        <w:rPr>
          <w:rFonts w:ascii="Sylfaen" w:hAnsi="Sylfaen"/>
          <w:sz w:val="24"/>
          <w:szCs w:val="24"/>
          <w:lang w:val="ka-GE"/>
        </w:rPr>
        <w:t>ა</w:t>
      </w:r>
      <w:r w:rsidR="00680F8D" w:rsidRPr="007D75DB">
        <w:rPr>
          <w:rFonts w:ascii="Sylfaen" w:hAnsi="Sylfaen"/>
          <w:sz w:val="24"/>
          <w:szCs w:val="24"/>
          <w:lang w:val="ka-GE"/>
        </w:rPr>
        <w:t xml:space="preserve">ლია ამბულატორიულ </w:t>
      </w:r>
      <w:r w:rsidRPr="007D75DB">
        <w:rPr>
          <w:rFonts w:ascii="Sylfaen" w:hAnsi="Sylfaen"/>
          <w:sz w:val="24"/>
          <w:szCs w:val="24"/>
          <w:lang w:val="ka-GE"/>
        </w:rPr>
        <w:t>მომსახურება</w:t>
      </w:r>
      <w:r>
        <w:rPr>
          <w:rFonts w:ascii="Sylfaen" w:hAnsi="Sylfaen"/>
          <w:sz w:val="24"/>
          <w:szCs w:val="24"/>
          <w:lang w:val="ka-GE"/>
        </w:rPr>
        <w:t>სა</w:t>
      </w:r>
      <w:r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680F8D" w:rsidRPr="007D75DB">
        <w:rPr>
          <w:rFonts w:ascii="Sylfaen" w:hAnsi="Sylfaen"/>
          <w:sz w:val="24"/>
          <w:szCs w:val="24"/>
          <w:lang w:val="ka-GE"/>
        </w:rPr>
        <w:t xml:space="preserve">და ამბულატორიულ </w:t>
      </w:r>
      <w:r w:rsidRPr="007D75DB">
        <w:rPr>
          <w:rFonts w:ascii="Sylfaen" w:hAnsi="Sylfaen"/>
          <w:sz w:val="24"/>
          <w:szCs w:val="24"/>
          <w:lang w:val="ka-GE"/>
        </w:rPr>
        <w:t>მედიკამენტებზე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680F8D" w:rsidRPr="007D75D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აღინიშნებოდა </w:t>
      </w:r>
      <w:r w:rsidR="00680F8D" w:rsidRPr="007D75DB">
        <w:rPr>
          <w:rFonts w:ascii="Sylfaen" w:hAnsi="Sylfaen"/>
          <w:sz w:val="24"/>
          <w:szCs w:val="24"/>
          <w:lang w:val="ka-GE"/>
        </w:rPr>
        <w:t>მოსახლეობის</w:t>
      </w:r>
      <w:r w:rsidR="00D633B6">
        <w:rPr>
          <w:rFonts w:ascii="Sylfaen" w:hAnsi="Sylfaen"/>
          <w:sz w:val="24"/>
          <w:szCs w:val="24"/>
          <w:lang w:val="ka-GE"/>
        </w:rPr>
        <w:t xml:space="preserve"> 10%-</w:t>
      </w:r>
      <w:r w:rsidR="00680F8D" w:rsidRPr="007D75DB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ი</w:t>
      </w:r>
      <w:r w:rsidR="00D633B6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>2014 წელს</w:t>
      </w:r>
      <w:r w:rsidR="00680F8D" w:rsidRPr="007D75DB">
        <w:rPr>
          <w:rFonts w:ascii="Sylfaen" w:hAnsi="Sylfaen"/>
          <w:sz w:val="24"/>
          <w:szCs w:val="24"/>
          <w:lang w:val="ka-GE"/>
        </w:rPr>
        <w:t xml:space="preserve">. ის სამჯერ მაღალი იყო </w:t>
      </w:r>
      <w:r>
        <w:rPr>
          <w:rFonts w:ascii="Sylfaen" w:hAnsi="Sylfaen"/>
          <w:sz w:val="24"/>
          <w:szCs w:val="24"/>
          <w:lang w:val="ka-GE"/>
        </w:rPr>
        <w:t>შემოსავლების მიხედვით უღარიბეს კვინტილში უმდიდრეს კვინტილთან შედარებით</w:t>
      </w:r>
      <w:r w:rsidR="00C81464" w:rsidRPr="007D75DB">
        <w:rPr>
          <w:rFonts w:ascii="Sylfaen" w:hAnsi="Sylfaen"/>
          <w:sz w:val="24"/>
          <w:szCs w:val="24"/>
          <w:lang w:val="ka-GE"/>
        </w:rPr>
        <w:t xml:space="preserve">, რაც ნიშნავს, რომ </w:t>
      </w:r>
      <w:r w:rsidR="009F787A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>
        <w:rPr>
          <w:rFonts w:ascii="Sylfaen" w:hAnsi="Sylfaen"/>
          <w:sz w:val="24"/>
          <w:szCs w:val="24"/>
          <w:lang w:val="ka-GE"/>
        </w:rPr>
        <w:t xml:space="preserve">სერვისებით სარგებლობისას </w:t>
      </w:r>
      <w:r w:rsidR="00C81464" w:rsidRPr="007D75DB">
        <w:rPr>
          <w:rFonts w:ascii="Sylfaen" w:hAnsi="Sylfaen"/>
          <w:sz w:val="24"/>
          <w:szCs w:val="24"/>
          <w:lang w:val="ka-GE"/>
        </w:rPr>
        <w:t xml:space="preserve">სოციალური უთანასწორობა </w:t>
      </w:r>
      <w:r>
        <w:rPr>
          <w:rFonts w:ascii="Sylfaen" w:hAnsi="Sylfaen"/>
          <w:sz w:val="24"/>
          <w:szCs w:val="24"/>
          <w:lang w:val="ka-GE"/>
        </w:rPr>
        <w:t xml:space="preserve">მნიშვნელოვნად </w:t>
      </w:r>
      <w:r w:rsidR="00C81464" w:rsidRPr="007D75DB">
        <w:rPr>
          <w:rFonts w:ascii="Sylfaen" w:hAnsi="Sylfaen"/>
          <w:sz w:val="24"/>
          <w:szCs w:val="24"/>
          <w:lang w:val="ka-GE"/>
        </w:rPr>
        <w:t>არ შემცირებულა 2010 წლიდან 2014 წლამდე.</w:t>
      </w:r>
    </w:p>
    <w:p w14:paraId="19F5E348" w14:textId="52A0578C" w:rsidR="00160A37" w:rsidRPr="007D75DB" w:rsidRDefault="00160A37" w:rsidP="00641F9E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ფინანსური დაცულობა დაბალია საქართველოში </w:t>
      </w:r>
      <w:r w:rsidR="006E58C8">
        <w:rPr>
          <w:rFonts w:ascii="Sylfaen" w:hAnsi="Sylfaen"/>
          <w:sz w:val="24"/>
          <w:szCs w:val="24"/>
          <w:lang w:val="ka-GE"/>
        </w:rPr>
        <w:t xml:space="preserve">ევროპის </w:t>
      </w:r>
      <w:r w:rsidRPr="007D75DB">
        <w:rPr>
          <w:rFonts w:ascii="Sylfaen" w:hAnsi="Sylfaen"/>
          <w:sz w:val="24"/>
          <w:szCs w:val="24"/>
          <w:lang w:val="ka-GE"/>
        </w:rPr>
        <w:t xml:space="preserve">რეგიონის სხვა ქვეყნებთნ შედარებით, </w:t>
      </w:r>
      <w:r w:rsidR="00463D4B">
        <w:rPr>
          <w:rFonts w:ascii="Sylfaen" w:hAnsi="Sylfaen"/>
          <w:sz w:val="24"/>
          <w:szCs w:val="24"/>
          <w:lang w:val="ka-GE"/>
        </w:rPr>
        <w:t xml:space="preserve">გაზომილი მოსახლეობის ხვედრითი წილით, რომელთაც ჯანდაცვაზე ჯიბიდან გადახდების  გამო, განიცადეს კატასტროფული დანახარჯები  </w:t>
      </w:r>
      <w:r w:rsidRPr="007D75DB">
        <w:rPr>
          <w:rFonts w:ascii="Sylfaen" w:hAnsi="Sylfaen"/>
          <w:sz w:val="24"/>
          <w:szCs w:val="24"/>
          <w:lang w:val="ka-GE"/>
        </w:rPr>
        <w:t>(გრაფიკი 4).</w:t>
      </w:r>
    </w:p>
    <w:p w14:paraId="091CF370" w14:textId="1D7191D1" w:rsidR="00680F8D" w:rsidRPr="007D75DB" w:rsidRDefault="00AC0F1D" w:rsidP="00641F9E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ჯიბიდან </w:t>
      </w:r>
      <w:r w:rsidR="00160A37" w:rsidRPr="007D75DB">
        <w:rPr>
          <w:rFonts w:ascii="Sylfaen" w:hAnsi="Sylfaen"/>
          <w:sz w:val="24"/>
          <w:szCs w:val="24"/>
          <w:lang w:val="ka-GE"/>
        </w:rPr>
        <w:t>გადახდები ძირით</w:t>
      </w:r>
      <w:r w:rsidR="009F787A">
        <w:rPr>
          <w:rFonts w:ascii="Sylfaen" w:hAnsi="Sylfaen"/>
          <w:sz w:val="24"/>
          <w:szCs w:val="24"/>
          <w:lang w:val="ka-GE"/>
        </w:rPr>
        <w:t>ა</w:t>
      </w:r>
      <w:r w:rsidR="00160A37" w:rsidRPr="007D75DB">
        <w:rPr>
          <w:rFonts w:ascii="Sylfaen" w:hAnsi="Sylfaen"/>
          <w:sz w:val="24"/>
          <w:szCs w:val="24"/>
          <w:lang w:val="ka-GE"/>
        </w:rPr>
        <w:t>დად გა</w:t>
      </w:r>
      <w:r w:rsidR="009F787A">
        <w:rPr>
          <w:rFonts w:ascii="Sylfaen" w:hAnsi="Sylfaen"/>
          <w:sz w:val="24"/>
          <w:szCs w:val="24"/>
          <w:lang w:val="ka-GE"/>
        </w:rPr>
        <w:t>ნ</w:t>
      </w:r>
      <w:r w:rsidR="00160A37" w:rsidRPr="007D75DB">
        <w:rPr>
          <w:rFonts w:ascii="Sylfaen" w:hAnsi="Sylfaen"/>
          <w:sz w:val="24"/>
          <w:szCs w:val="24"/>
          <w:lang w:val="ka-GE"/>
        </w:rPr>
        <w:t xml:space="preserve">პირობებულია ამბულატორიულ მედიკამენტებზე დანახარჯებით, რაც </w:t>
      </w:r>
      <w:r>
        <w:rPr>
          <w:rFonts w:ascii="Sylfaen" w:hAnsi="Sylfaen"/>
          <w:sz w:val="24"/>
          <w:szCs w:val="24"/>
          <w:lang w:val="ka-GE"/>
        </w:rPr>
        <w:t>წარმოადგენს</w:t>
      </w:r>
      <w:r w:rsidR="00160A37" w:rsidRPr="007D75D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ქვეყნის ჯანდაცვის სისტემის მნიშვნელოვან გამოწვევას</w:t>
      </w:r>
      <w:r w:rsidR="006D1332">
        <w:rPr>
          <w:rFonts w:ascii="Sylfaen" w:hAnsi="Sylfaen"/>
          <w:sz w:val="24"/>
          <w:szCs w:val="24"/>
          <w:lang w:val="ka-GE"/>
        </w:rPr>
        <w:t>.</w:t>
      </w:r>
    </w:p>
    <w:p w14:paraId="36B3BE98" w14:textId="514C9232" w:rsidR="0096438E" w:rsidRPr="00EB577D" w:rsidRDefault="00F6307B" w:rsidP="00BD66B5">
      <w:pPr>
        <w:spacing w:line="240" w:lineRule="auto"/>
        <w:rPr>
          <w:rFonts w:ascii="Arial" w:hAnsi="Arial" w:cs="Arial"/>
          <w:b/>
        </w:rPr>
      </w:pPr>
      <w:r w:rsidRPr="0096438E">
        <w:rPr>
          <w:rFonts w:ascii="Sylfaen" w:hAnsi="Sylfaen"/>
          <w:b/>
          <w:sz w:val="24"/>
          <w:szCs w:val="24"/>
          <w:lang w:val="ka-GE"/>
        </w:rPr>
        <w:lastRenderedPageBreak/>
        <w:t xml:space="preserve">გრაფიკი 3 ამბულატორიული </w:t>
      </w:r>
      <w:r w:rsidR="00AC0F1D">
        <w:rPr>
          <w:rFonts w:ascii="Sylfaen" w:hAnsi="Sylfaen"/>
          <w:b/>
          <w:sz w:val="24"/>
          <w:szCs w:val="24"/>
          <w:lang w:val="ka-GE"/>
        </w:rPr>
        <w:t xml:space="preserve"> ვიზიტების</w:t>
      </w:r>
      <w:r w:rsidRPr="009643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C0F1D">
        <w:rPr>
          <w:rFonts w:ascii="Sylfaen" w:hAnsi="Sylfaen"/>
          <w:b/>
          <w:sz w:val="24"/>
          <w:szCs w:val="24"/>
          <w:lang w:val="ka-GE"/>
        </w:rPr>
        <w:t xml:space="preserve">წლიური საშუალო </w:t>
      </w:r>
      <w:r w:rsidRPr="0096438E">
        <w:rPr>
          <w:rFonts w:ascii="Sylfaen" w:hAnsi="Sylfaen"/>
          <w:b/>
          <w:sz w:val="24"/>
          <w:szCs w:val="24"/>
          <w:lang w:val="ka-GE"/>
        </w:rPr>
        <w:t xml:space="preserve">რაოდენობა </w:t>
      </w:r>
      <w:r w:rsidR="00AC0F1D">
        <w:rPr>
          <w:rFonts w:ascii="Sylfaen" w:hAnsi="Sylfaen"/>
          <w:b/>
          <w:sz w:val="24"/>
          <w:szCs w:val="24"/>
          <w:lang w:val="ka-GE"/>
        </w:rPr>
        <w:t>ერთ სულ მოსახლეზე</w:t>
      </w:r>
      <w:r w:rsidRPr="00C432FB">
        <w:rPr>
          <w:rFonts w:ascii="Sylfaen" w:hAnsi="Sylfaen"/>
          <w:b/>
          <w:sz w:val="24"/>
          <w:szCs w:val="24"/>
          <w:lang w:val="ka-GE"/>
        </w:rPr>
        <w:t xml:space="preserve"> საქართველოსა და ევროპის </w:t>
      </w:r>
      <w:r w:rsidR="00AC0F1D" w:rsidRPr="00C432FB">
        <w:rPr>
          <w:rFonts w:ascii="Sylfaen" w:hAnsi="Sylfaen"/>
          <w:b/>
          <w:sz w:val="24"/>
          <w:szCs w:val="24"/>
          <w:lang w:val="ka-GE"/>
        </w:rPr>
        <w:t>რეგიონ</w:t>
      </w:r>
      <w:r w:rsidR="00AC0F1D">
        <w:rPr>
          <w:rFonts w:ascii="Sylfaen" w:hAnsi="Sylfaen"/>
          <w:b/>
          <w:sz w:val="24"/>
          <w:szCs w:val="24"/>
          <w:lang w:val="ka-GE"/>
        </w:rPr>
        <w:t>ში</w:t>
      </w:r>
      <w:r w:rsidRPr="0096438E">
        <w:rPr>
          <w:rFonts w:ascii="Sylfaen" w:hAnsi="Sylfaen"/>
          <w:b/>
          <w:sz w:val="24"/>
          <w:szCs w:val="24"/>
          <w:lang w:val="ka-GE"/>
        </w:rPr>
        <w:t>, 2014.</w:t>
      </w:r>
      <w:r w:rsidR="0096438E" w:rsidRPr="00EB577D">
        <w:rPr>
          <w:rFonts w:ascii="Arial" w:hAnsi="Arial" w:cs="Arial"/>
          <w:b/>
          <w:noProof/>
        </w:rPr>
        <w:drawing>
          <wp:inline distT="0" distB="0" distL="0" distR="0" wp14:anchorId="105C5C1A" wp14:editId="7D0E567F">
            <wp:extent cx="5391150" cy="34861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8A39BD2" w14:textId="440FF384" w:rsidR="00F6307B" w:rsidRPr="00C432FB" w:rsidRDefault="00F6307B" w:rsidP="00641F9E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შრომის, ჯანმრთელობისა და სოციალური დაცვის სამინისტროს და </w:t>
      </w:r>
      <w:r w:rsidR="00AC0F1D" w:rsidRPr="00C432FB">
        <w:rPr>
          <w:rFonts w:ascii="Sylfaen" w:hAnsi="Sylfaen"/>
          <w:sz w:val="20"/>
          <w:szCs w:val="20"/>
          <w:lang w:val="ka-GE"/>
        </w:rPr>
        <w:t>ჯან</w:t>
      </w:r>
      <w:r w:rsidR="00AC0F1D">
        <w:rPr>
          <w:rFonts w:ascii="Sylfaen" w:hAnsi="Sylfaen"/>
          <w:sz w:val="20"/>
          <w:szCs w:val="20"/>
          <w:lang w:val="ka-GE"/>
        </w:rPr>
        <w:t>მრთელობის</w:t>
      </w:r>
      <w:r w:rsidR="00AC0F1D" w:rsidRPr="00C432FB">
        <w:rPr>
          <w:rFonts w:ascii="Sylfaen" w:hAnsi="Sylfaen"/>
          <w:sz w:val="20"/>
          <w:szCs w:val="20"/>
          <w:lang w:val="ka-GE"/>
        </w:rPr>
        <w:t xml:space="preserve"> </w:t>
      </w:r>
      <w:r w:rsidRPr="00C432FB">
        <w:rPr>
          <w:rFonts w:ascii="Sylfaen" w:hAnsi="Sylfaen"/>
          <w:sz w:val="20"/>
          <w:szCs w:val="20"/>
          <w:lang w:val="ka-GE"/>
        </w:rPr>
        <w:t>მსოფლიო ორგანიზაციის მონაცემები</w:t>
      </w:r>
    </w:p>
    <w:p w14:paraId="436D69EA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85014F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4902298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88BF477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C2E4B81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135846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C2E490D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6B54679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35D661F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123AF1F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01F568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33052A6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79D8F86" w14:textId="4FC1E8F0" w:rsidR="00F6307B" w:rsidRPr="0096438E" w:rsidRDefault="00F6307B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6438E">
        <w:rPr>
          <w:rFonts w:ascii="Sylfaen" w:hAnsi="Sylfaen"/>
          <w:b/>
          <w:sz w:val="24"/>
          <w:szCs w:val="24"/>
          <w:lang w:val="ka-GE"/>
        </w:rPr>
        <w:t xml:space="preserve">გრაფიკი 4 </w:t>
      </w:r>
      <w:r w:rsidR="00AC0F1D">
        <w:rPr>
          <w:rFonts w:ascii="Sylfaen" w:hAnsi="Sylfaen"/>
          <w:b/>
          <w:sz w:val="24"/>
          <w:szCs w:val="24"/>
          <w:lang w:val="ka-GE"/>
        </w:rPr>
        <w:t xml:space="preserve">ჯანდაცვაზე </w:t>
      </w:r>
      <w:r w:rsidRPr="0096438E">
        <w:rPr>
          <w:rFonts w:ascii="Sylfaen" w:hAnsi="Sylfaen"/>
          <w:b/>
          <w:sz w:val="24"/>
          <w:szCs w:val="24"/>
          <w:lang w:val="ka-GE"/>
        </w:rPr>
        <w:t xml:space="preserve">კატასტროფული ჯიბიდან გადახდების მქონე შინამეურნეობების </w:t>
      </w:r>
      <w:r w:rsidR="00AC0F1D">
        <w:rPr>
          <w:rFonts w:ascii="Sylfaen" w:hAnsi="Sylfaen"/>
          <w:b/>
          <w:sz w:val="24"/>
          <w:szCs w:val="24"/>
          <w:lang w:val="ka-GE"/>
        </w:rPr>
        <w:t xml:space="preserve">ხვერდითი </w:t>
      </w:r>
      <w:r w:rsidRPr="0096438E">
        <w:rPr>
          <w:rFonts w:ascii="Sylfaen" w:hAnsi="Sylfaen"/>
          <w:b/>
          <w:sz w:val="24"/>
          <w:szCs w:val="24"/>
          <w:lang w:val="ka-GE"/>
        </w:rPr>
        <w:t xml:space="preserve">წილი (%), 2011 წელს და 2014 </w:t>
      </w:r>
      <w:r w:rsidR="00AC0F1D">
        <w:rPr>
          <w:rFonts w:ascii="Sylfaen" w:hAnsi="Sylfaen"/>
          <w:b/>
          <w:sz w:val="24"/>
          <w:szCs w:val="24"/>
          <w:lang w:val="ka-GE"/>
        </w:rPr>
        <w:t>წლებში</w:t>
      </w:r>
      <w:r w:rsidR="00AC0F1D" w:rsidRPr="009643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438E">
        <w:rPr>
          <w:rFonts w:ascii="Sylfaen" w:hAnsi="Sylfaen"/>
          <w:b/>
          <w:sz w:val="24"/>
          <w:szCs w:val="24"/>
          <w:lang w:val="ka-GE"/>
        </w:rPr>
        <w:t>საქართველოში და შერჩეულ ქვეყნებში</w:t>
      </w:r>
    </w:p>
    <w:p w14:paraId="432C706F" w14:textId="77777777" w:rsidR="006D1332" w:rsidRDefault="0096438E" w:rsidP="006D1332">
      <w:pPr>
        <w:rPr>
          <w:rFonts w:ascii="Sylfaen" w:hAnsi="Sylfaen"/>
          <w:sz w:val="20"/>
          <w:szCs w:val="20"/>
          <w:lang w:val="ka-GE"/>
        </w:rPr>
      </w:pPr>
      <w:r w:rsidRPr="00EB577D">
        <w:rPr>
          <w:rFonts w:ascii="Arial" w:hAnsi="Arial" w:cs="Arial"/>
          <w:noProof/>
        </w:rPr>
        <w:drawing>
          <wp:inline distT="0" distB="0" distL="0" distR="0" wp14:anchorId="123FB690" wp14:editId="073CD10C">
            <wp:extent cx="5448300" cy="30670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89387A" w14:textId="1AE21935" w:rsidR="00F6307B" w:rsidRPr="006D1332" w:rsidRDefault="00F6307B" w:rsidP="006D1332">
      <w:pPr>
        <w:rPr>
          <w:rFonts w:ascii="Arial" w:hAnsi="Arial" w:cs="Arial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</w:t>
      </w:r>
      <w:r w:rsidR="00AC0F1D">
        <w:rPr>
          <w:rFonts w:ascii="Sylfaen" w:hAnsi="Sylfaen"/>
          <w:sz w:val="20"/>
          <w:szCs w:val="20"/>
          <w:lang w:val="ka-GE"/>
        </w:rPr>
        <w:t>ჯანმრთელობის</w:t>
      </w:r>
      <w:r w:rsidR="00AC0F1D" w:rsidRPr="00C432FB">
        <w:rPr>
          <w:rFonts w:ascii="Sylfaen" w:hAnsi="Sylfaen"/>
          <w:sz w:val="20"/>
          <w:szCs w:val="20"/>
          <w:lang w:val="ka-GE"/>
        </w:rPr>
        <w:t xml:space="preserve"> </w:t>
      </w:r>
      <w:r w:rsidRPr="00C432FB">
        <w:rPr>
          <w:rFonts w:ascii="Sylfaen" w:hAnsi="Sylfaen"/>
          <w:sz w:val="20"/>
          <w:szCs w:val="20"/>
          <w:lang w:val="ka-GE"/>
        </w:rPr>
        <w:t>მსოფლიო ორგანიზაციის წინასწარი გათვ</w:t>
      </w:r>
      <w:r w:rsidR="00AC0F1D">
        <w:rPr>
          <w:rFonts w:ascii="Sylfaen" w:hAnsi="Sylfaen"/>
          <w:sz w:val="20"/>
          <w:szCs w:val="20"/>
          <w:lang w:val="ka-GE"/>
        </w:rPr>
        <w:t>ლ</w:t>
      </w:r>
      <w:r w:rsidRPr="00C432FB">
        <w:rPr>
          <w:rFonts w:ascii="Sylfaen" w:hAnsi="Sylfaen"/>
          <w:sz w:val="20"/>
          <w:szCs w:val="20"/>
          <w:lang w:val="ka-GE"/>
        </w:rPr>
        <w:t>ები</w:t>
      </w:r>
      <w:r w:rsidRPr="00C432FB">
        <w:rPr>
          <w:rFonts w:ascii="Sylfaen" w:hAnsi="Sylfaen"/>
          <w:sz w:val="20"/>
          <w:szCs w:val="20"/>
        </w:rPr>
        <w:t xml:space="preserve"> </w:t>
      </w:r>
      <w:r w:rsidR="00AC0F1D">
        <w:rPr>
          <w:rFonts w:ascii="Sylfaen" w:hAnsi="Sylfaen"/>
          <w:sz w:val="20"/>
          <w:szCs w:val="20"/>
          <w:lang w:val="ka-GE"/>
        </w:rPr>
        <w:t>შინამეურნეობების ბიუჯეტის კვლევების (</w:t>
      </w:r>
      <w:r w:rsidRPr="00C432FB">
        <w:rPr>
          <w:rFonts w:ascii="Sylfaen" w:hAnsi="Sylfaen"/>
          <w:sz w:val="20"/>
          <w:szCs w:val="20"/>
        </w:rPr>
        <w:t>HBS</w:t>
      </w:r>
      <w:r w:rsidR="00AC0F1D">
        <w:rPr>
          <w:rFonts w:ascii="Sylfaen" w:hAnsi="Sylfaen"/>
          <w:sz w:val="20"/>
          <w:szCs w:val="20"/>
          <w:lang w:val="ka-GE"/>
        </w:rPr>
        <w:t>)</w:t>
      </w:r>
      <w:r w:rsidRPr="00C432FB">
        <w:rPr>
          <w:rFonts w:ascii="Sylfaen" w:hAnsi="Sylfaen"/>
          <w:sz w:val="20"/>
          <w:szCs w:val="20"/>
          <w:lang w:val="ka-GE"/>
        </w:rPr>
        <w:t xml:space="preserve"> მონაცემებზე დაყრდნობით: </w:t>
      </w:r>
      <w:r w:rsidRPr="00C432FB">
        <w:rPr>
          <w:rFonts w:ascii="Sylfaen" w:hAnsi="Sylfaen"/>
          <w:sz w:val="20"/>
          <w:szCs w:val="20"/>
        </w:rPr>
        <w:t>OOPs</w:t>
      </w:r>
      <w:r w:rsidR="00CD1EF6" w:rsidRPr="00C432FB">
        <w:rPr>
          <w:rFonts w:ascii="Sylfaen" w:hAnsi="Sylfaen"/>
          <w:sz w:val="20"/>
          <w:szCs w:val="20"/>
        </w:rPr>
        <w:t>=</w:t>
      </w:r>
      <w:r w:rsidR="00CD1EF6" w:rsidRPr="00C432FB">
        <w:rPr>
          <w:rFonts w:ascii="Sylfaen" w:hAnsi="Sylfaen"/>
          <w:sz w:val="20"/>
          <w:szCs w:val="20"/>
          <w:lang w:val="ka-GE"/>
        </w:rPr>
        <w:t>ჯიბიდან დანახარჯებ</w:t>
      </w:r>
      <w:r w:rsidR="00D13140" w:rsidRPr="00C432FB">
        <w:rPr>
          <w:rFonts w:ascii="Sylfaen" w:hAnsi="Sylfaen"/>
          <w:sz w:val="20"/>
          <w:szCs w:val="20"/>
          <w:lang w:val="ka-GE"/>
        </w:rPr>
        <w:t>ი</w:t>
      </w:r>
      <w:r w:rsidR="00524011" w:rsidRPr="00C432FB">
        <w:rPr>
          <w:rFonts w:ascii="Sylfaen" w:hAnsi="Sylfaen"/>
          <w:sz w:val="20"/>
          <w:szCs w:val="20"/>
          <w:lang w:val="ka-GE"/>
        </w:rPr>
        <w:t>, სხვა ქვეყნების შემთხვევაში აღებულია 2012 და 2013 მონაცემები.</w:t>
      </w:r>
    </w:p>
    <w:p w14:paraId="35C39583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5488999" w14:textId="77777777" w:rsidR="00D13140" w:rsidRPr="007D75DB" w:rsidRDefault="00D13140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ჯანდაცვაზე სახელმწიფო დანახარჯები გაიზარდა 2012 წლიდან, თუმცა ჯერ კიდევ ძალიან დაბალია:</w:t>
      </w:r>
    </w:p>
    <w:p w14:paraId="1AD36E01" w14:textId="07DBC10F" w:rsidR="00D13140" w:rsidRPr="007D75DB" w:rsidRDefault="00BD24C9" w:rsidP="00641F9E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>მშპ-</w:t>
      </w:r>
      <w:r w:rsidR="00AC0F1D">
        <w:rPr>
          <w:rFonts w:ascii="Sylfaen" w:hAnsi="Sylfaen"/>
          <w:sz w:val="24"/>
          <w:szCs w:val="24"/>
          <w:lang w:val="ka-GE"/>
        </w:rPr>
        <w:t>სთ</w:t>
      </w:r>
      <w:r w:rsidR="004F5FF8">
        <w:rPr>
          <w:rFonts w:ascii="Sylfaen" w:hAnsi="Sylfaen"/>
          <w:sz w:val="24"/>
          <w:szCs w:val="24"/>
          <w:lang w:val="ka-GE"/>
        </w:rPr>
        <w:t>ა</w:t>
      </w:r>
      <w:r w:rsidR="00AC0F1D">
        <w:rPr>
          <w:rFonts w:ascii="Sylfaen" w:hAnsi="Sylfaen"/>
          <w:sz w:val="24"/>
          <w:szCs w:val="24"/>
          <w:lang w:val="ka-GE"/>
        </w:rPr>
        <w:t>ნ მიმარ</w:t>
      </w:r>
      <w:r w:rsidR="004F5FF8">
        <w:rPr>
          <w:rFonts w:ascii="Sylfaen" w:hAnsi="Sylfaen"/>
          <w:sz w:val="24"/>
          <w:szCs w:val="24"/>
          <w:lang w:val="ka-GE"/>
        </w:rPr>
        <w:t>თ</w:t>
      </w:r>
      <w:r w:rsidR="00AC0F1D">
        <w:rPr>
          <w:rFonts w:ascii="Sylfaen" w:hAnsi="Sylfaen"/>
          <w:sz w:val="24"/>
          <w:szCs w:val="24"/>
          <w:lang w:val="ka-GE"/>
        </w:rPr>
        <w:t xml:space="preserve">ებაში ჯანდაცვაზე სახელმწიფო დანახარჯების წილი </w:t>
      </w:r>
      <w:r w:rsidRPr="007D75DB">
        <w:rPr>
          <w:rFonts w:ascii="Sylfaen" w:hAnsi="Sylfaen"/>
          <w:sz w:val="24"/>
          <w:szCs w:val="24"/>
          <w:lang w:val="ka-GE"/>
        </w:rPr>
        <w:t xml:space="preserve">ახლოა რეგიონში ყველაზე დაბალ მაჩვენებელთან და საკმაოდ </w:t>
      </w:r>
      <w:r w:rsidR="0008085E">
        <w:rPr>
          <w:rFonts w:ascii="Sylfaen" w:hAnsi="Sylfaen"/>
          <w:sz w:val="24"/>
          <w:szCs w:val="24"/>
          <w:lang w:val="ka-GE"/>
        </w:rPr>
        <w:t xml:space="preserve">ქვემოთაა რეგიონისთვის </w:t>
      </w:r>
      <w:r w:rsidRPr="007D75DB">
        <w:rPr>
          <w:rFonts w:ascii="Sylfaen" w:hAnsi="Sylfaen"/>
          <w:sz w:val="24"/>
          <w:szCs w:val="24"/>
          <w:lang w:val="ka-GE"/>
        </w:rPr>
        <w:t>მშპ-</w:t>
      </w:r>
      <w:r w:rsidR="00AC0F1D">
        <w:rPr>
          <w:rFonts w:ascii="Sylfaen" w:hAnsi="Sylfaen"/>
          <w:sz w:val="24"/>
          <w:szCs w:val="24"/>
          <w:lang w:val="ka-GE"/>
        </w:rPr>
        <w:t>ი</w:t>
      </w:r>
      <w:r w:rsidRPr="007D75DB">
        <w:rPr>
          <w:rFonts w:ascii="Sylfaen" w:hAnsi="Sylfaen"/>
          <w:sz w:val="24"/>
          <w:szCs w:val="24"/>
          <w:lang w:val="ka-GE"/>
        </w:rPr>
        <w:t xml:space="preserve">ს </w:t>
      </w:r>
      <w:r w:rsidR="0008085E">
        <w:rPr>
          <w:rFonts w:ascii="Sylfaen" w:hAnsi="Sylfaen"/>
          <w:sz w:val="24"/>
          <w:szCs w:val="24"/>
          <w:lang w:val="ka-GE"/>
        </w:rPr>
        <w:t>ტრენდის</w:t>
      </w:r>
      <w:r w:rsidR="0008085E" w:rsidRPr="00C432FB">
        <w:rPr>
          <w:rFonts w:ascii="Sylfaen" w:hAnsi="Sylfaen"/>
          <w:sz w:val="24"/>
          <w:szCs w:val="24"/>
          <w:lang w:val="ka-GE"/>
        </w:rPr>
        <w:t xml:space="preserve"> </w:t>
      </w:r>
      <w:r w:rsidR="0008085E">
        <w:rPr>
          <w:rFonts w:ascii="Sylfaen" w:hAnsi="Sylfaen"/>
          <w:sz w:val="24"/>
          <w:szCs w:val="24"/>
          <w:lang w:val="ka-GE"/>
        </w:rPr>
        <w:t>ხაზიდან</w:t>
      </w:r>
      <w:r w:rsidR="00AC0F1D" w:rsidRPr="00C432FB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 xml:space="preserve">(გრაფიკი 5). ეს ნიშნავს, რომ ჯანდაცვაზე სახელმწიფო დანახარჯები არ მიყვება </w:t>
      </w:r>
      <w:r w:rsidR="0008085E">
        <w:rPr>
          <w:rFonts w:ascii="Sylfaen" w:hAnsi="Sylfaen"/>
          <w:sz w:val="24"/>
          <w:szCs w:val="24"/>
          <w:lang w:val="ka-GE"/>
        </w:rPr>
        <w:t>ევროპის რეგიონის</w:t>
      </w:r>
      <w:r w:rsidR="006D1332">
        <w:rPr>
          <w:rFonts w:ascii="Sylfaen" w:hAnsi="Sylfaen"/>
          <w:sz w:val="24"/>
          <w:szCs w:val="24"/>
          <w:lang w:val="ka-GE"/>
        </w:rPr>
        <w:t xml:space="preserve"> </w:t>
      </w:r>
      <w:r w:rsidRPr="007D75DB">
        <w:rPr>
          <w:rFonts w:ascii="Sylfaen" w:hAnsi="Sylfaen"/>
          <w:sz w:val="24"/>
          <w:szCs w:val="24"/>
          <w:lang w:val="ka-GE"/>
        </w:rPr>
        <w:t>ტენდენციებს.</w:t>
      </w:r>
      <w:r w:rsidR="00DE212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6D1332" w:rsidRPr="007D75DB">
        <w:rPr>
          <w:rFonts w:ascii="Sylfaen" w:hAnsi="Sylfaen"/>
          <w:sz w:val="24"/>
          <w:szCs w:val="24"/>
          <w:lang w:val="ka-GE"/>
        </w:rPr>
        <w:t xml:space="preserve">ჯანდაცვაზე სახელმწიფო დანახარჯები </w:t>
      </w:r>
      <w:r w:rsidR="00DE212B" w:rsidRPr="007D75DB">
        <w:rPr>
          <w:rFonts w:ascii="Sylfaen" w:hAnsi="Sylfaen"/>
          <w:sz w:val="24"/>
          <w:szCs w:val="24"/>
          <w:lang w:val="ka-GE"/>
        </w:rPr>
        <w:t xml:space="preserve">რომ </w:t>
      </w:r>
      <w:r w:rsidR="0008085E">
        <w:rPr>
          <w:rFonts w:ascii="Sylfaen" w:hAnsi="Sylfaen"/>
          <w:sz w:val="24"/>
          <w:szCs w:val="24"/>
          <w:lang w:val="ka-GE"/>
        </w:rPr>
        <w:t>უახლოვდებოდეს</w:t>
      </w:r>
      <w:r w:rsidR="00DE212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08085E" w:rsidRPr="007D75DB">
        <w:rPr>
          <w:rFonts w:ascii="Sylfaen" w:hAnsi="Sylfaen"/>
          <w:sz w:val="24"/>
          <w:szCs w:val="24"/>
          <w:lang w:val="ka-GE"/>
        </w:rPr>
        <w:t>რეგიონ</w:t>
      </w:r>
      <w:r w:rsidR="0008085E">
        <w:rPr>
          <w:rFonts w:ascii="Sylfaen" w:hAnsi="Sylfaen"/>
          <w:sz w:val="24"/>
          <w:szCs w:val="24"/>
          <w:lang w:val="ka-GE"/>
        </w:rPr>
        <w:t>ულ</w:t>
      </w:r>
      <w:r w:rsidR="0008085E" w:rsidRPr="007D75DB">
        <w:rPr>
          <w:rFonts w:ascii="Sylfaen" w:hAnsi="Sylfaen"/>
          <w:sz w:val="24"/>
          <w:szCs w:val="24"/>
          <w:lang w:val="ka-GE"/>
        </w:rPr>
        <w:t xml:space="preserve"> ტენდენც</w:t>
      </w:r>
      <w:r w:rsidR="0008085E">
        <w:rPr>
          <w:rFonts w:ascii="Sylfaen" w:hAnsi="Sylfaen"/>
          <w:sz w:val="24"/>
          <w:szCs w:val="24"/>
          <w:lang w:val="ka-GE"/>
        </w:rPr>
        <w:t>იებს,</w:t>
      </w:r>
      <w:r w:rsidR="0008085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DE212B" w:rsidRPr="007D75DB">
        <w:rPr>
          <w:rFonts w:ascii="Sylfaen" w:hAnsi="Sylfaen"/>
          <w:sz w:val="24"/>
          <w:szCs w:val="24"/>
          <w:lang w:val="ka-GE"/>
        </w:rPr>
        <w:t>2014 წელს</w:t>
      </w:r>
      <w:r w:rsidR="0008085E">
        <w:rPr>
          <w:rFonts w:ascii="Sylfaen" w:hAnsi="Sylfaen"/>
          <w:sz w:val="24"/>
          <w:szCs w:val="24"/>
          <w:lang w:val="ka-GE"/>
        </w:rPr>
        <w:t xml:space="preserve"> </w:t>
      </w:r>
      <w:r w:rsidR="006D1332">
        <w:rPr>
          <w:rFonts w:ascii="Sylfaen" w:hAnsi="Sylfaen"/>
          <w:sz w:val="24"/>
          <w:szCs w:val="24"/>
          <w:lang w:val="ka-GE"/>
        </w:rPr>
        <w:t xml:space="preserve">ის </w:t>
      </w:r>
      <w:r w:rsidR="0008085E">
        <w:rPr>
          <w:rFonts w:ascii="Sylfaen" w:hAnsi="Sylfaen"/>
          <w:sz w:val="24"/>
          <w:szCs w:val="24"/>
          <w:lang w:val="ka-GE"/>
        </w:rPr>
        <w:t>იქნებოდა</w:t>
      </w:r>
      <w:r w:rsidR="00DE212B" w:rsidRPr="007D75DB">
        <w:rPr>
          <w:rFonts w:ascii="Sylfaen" w:hAnsi="Sylfaen"/>
          <w:sz w:val="24"/>
          <w:szCs w:val="24"/>
          <w:lang w:val="ka-GE"/>
        </w:rPr>
        <w:t xml:space="preserve"> მშპ-</w:t>
      </w:r>
      <w:r w:rsidR="00DB5F05">
        <w:rPr>
          <w:rFonts w:ascii="Sylfaen" w:hAnsi="Sylfaen"/>
          <w:sz w:val="24"/>
          <w:szCs w:val="24"/>
          <w:lang w:val="ka-GE"/>
        </w:rPr>
        <w:t>ი</w:t>
      </w:r>
      <w:r w:rsidR="00DE212B" w:rsidRPr="007D75DB">
        <w:rPr>
          <w:rFonts w:ascii="Sylfaen" w:hAnsi="Sylfaen"/>
          <w:sz w:val="24"/>
          <w:szCs w:val="24"/>
          <w:lang w:val="ka-GE"/>
        </w:rPr>
        <w:t>ს დაახლოებით 3,5%.</w:t>
      </w:r>
    </w:p>
    <w:p w14:paraId="5253114E" w14:textId="395C6542" w:rsidR="00FE0635" w:rsidRPr="006D1332" w:rsidRDefault="00244F22" w:rsidP="00641F9E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ჯანდაცვაზე სახელმწიფო დანახარჯების დაბალი დონე შეიძლება აიხსნას </w:t>
      </w:r>
      <w:r w:rsidR="00FC3A10" w:rsidRPr="007D75DB">
        <w:rPr>
          <w:rFonts w:ascii="Sylfaen" w:hAnsi="Sylfaen"/>
          <w:sz w:val="24"/>
          <w:szCs w:val="24"/>
          <w:lang w:val="ka-GE"/>
        </w:rPr>
        <w:t xml:space="preserve">სახელმწიფო ბიუჯეტში </w:t>
      </w:r>
      <w:r w:rsidR="00FC3A10">
        <w:rPr>
          <w:rFonts w:ascii="Sylfaen" w:hAnsi="Sylfaen"/>
          <w:sz w:val="24"/>
          <w:szCs w:val="24"/>
          <w:lang w:val="ka-GE"/>
        </w:rPr>
        <w:t xml:space="preserve">ჯანდაცვისთვის გამოყოფილი </w:t>
      </w:r>
      <w:r w:rsidR="0008085E">
        <w:rPr>
          <w:rFonts w:ascii="Sylfaen" w:hAnsi="Sylfaen"/>
          <w:sz w:val="24"/>
          <w:szCs w:val="24"/>
          <w:lang w:val="ka-GE"/>
        </w:rPr>
        <w:t xml:space="preserve">სახსრების </w:t>
      </w:r>
      <w:r w:rsidRPr="007D75DB">
        <w:rPr>
          <w:rFonts w:ascii="Sylfaen" w:hAnsi="Sylfaen"/>
          <w:sz w:val="24"/>
          <w:szCs w:val="24"/>
          <w:lang w:val="ka-GE"/>
        </w:rPr>
        <w:t xml:space="preserve">დაბალი </w:t>
      </w:r>
      <w:r w:rsidR="00FC3A10">
        <w:rPr>
          <w:rFonts w:ascii="Sylfaen" w:hAnsi="Sylfaen"/>
          <w:sz w:val="24"/>
          <w:szCs w:val="24"/>
          <w:lang w:val="ka-GE"/>
        </w:rPr>
        <w:t>წილით. საქართველოში ჯანდაცვ</w:t>
      </w:r>
      <w:r w:rsidR="0008085E">
        <w:rPr>
          <w:rFonts w:ascii="Sylfaen" w:hAnsi="Sylfaen"/>
          <w:sz w:val="24"/>
          <w:szCs w:val="24"/>
          <w:lang w:val="ka-GE"/>
        </w:rPr>
        <w:t>აზე გამოყოფილი სახსრების</w:t>
      </w:r>
      <w:r w:rsidR="00FC3A10">
        <w:rPr>
          <w:rFonts w:ascii="Sylfaen" w:hAnsi="Sylfaen"/>
          <w:sz w:val="24"/>
          <w:szCs w:val="24"/>
          <w:lang w:val="ka-GE"/>
        </w:rPr>
        <w:t xml:space="preserve"> წილი </w:t>
      </w:r>
      <w:r w:rsidR="00FC3A10" w:rsidRPr="007D75DB">
        <w:rPr>
          <w:rFonts w:ascii="Sylfaen" w:hAnsi="Sylfaen"/>
          <w:sz w:val="24"/>
          <w:szCs w:val="24"/>
          <w:lang w:val="ka-GE"/>
        </w:rPr>
        <w:t>(5% 2014 წელს)</w:t>
      </w:r>
      <w:r w:rsidR="00FC3A10">
        <w:rPr>
          <w:rFonts w:ascii="Sylfaen" w:hAnsi="Sylfaen"/>
          <w:sz w:val="24"/>
          <w:szCs w:val="24"/>
          <w:lang w:val="ka-GE"/>
        </w:rPr>
        <w:t xml:space="preserve"> სახელმწიფო ბიუჯეტ</w:t>
      </w:r>
      <w:r w:rsidR="0008085E">
        <w:rPr>
          <w:rFonts w:ascii="Sylfaen" w:hAnsi="Sylfaen"/>
          <w:sz w:val="24"/>
          <w:szCs w:val="24"/>
          <w:lang w:val="ka-GE"/>
        </w:rPr>
        <w:t>იდან</w:t>
      </w:r>
      <w:r w:rsidRPr="007D75DB">
        <w:rPr>
          <w:rFonts w:ascii="Sylfaen" w:hAnsi="Sylfaen"/>
          <w:sz w:val="24"/>
          <w:szCs w:val="24"/>
          <w:lang w:val="ka-GE"/>
        </w:rPr>
        <w:t xml:space="preserve"> დაბალია ევროპის ნებისმიერ ქვეყანასთან შედარებით, გარდა აზერბაიჯანისა (გრაფიკი 6 და გრაფიკი 9)</w:t>
      </w:r>
      <w:r w:rsidR="0087012B" w:rsidRPr="007D75DB">
        <w:rPr>
          <w:rFonts w:ascii="Sylfaen" w:hAnsi="Sylfaen"/>
          <w:sz w:val="24"/>
          <w:szCs w:val="24"/>
          <w:lang w:val="ka-GE"/>
        </w:rPr>
        <w:t xml:space="preserve">. </w:t>
      </w:r>
      <w:r w:rsidR="0008085E">
        <w:rPr>
          <w:rFonts w:ascii="Sylfaen" w:hAnsi="Sylfaen"/>
          <w:sz w:val="24"/>
          <w:szCs w:val="24"/>
          <w:lang w:val="ka-GE"/>
        </w:rPr>
        <w:t xml:space="preserve">ამ </w:t>
      </w:r>
      <w:r w:rsidR="0008085E">
        <w:rPr>
          <w:rFonts w:ascii="Sylfaen" w:hAnsi="Sylfaen"/>
          <w:sz w:val="24"/>
          <w:szCs w:val="24"/>
          <w:lang w:val="ka-GE"/>
        </w:rPr>
        <w:lastRenderedPageBreak/>
        <w:t>მაჩვენებლებით,</w:t>
      </w:r>
      <w:r w:rsidR="0087012B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DB5F05" w:rsidRPr="007D75DB">
        <w:rPr>
          <w:rFonts w:ascii="Sylfaen" w:hAnsi="Sylfaen"/>
          <w:sz w:val="24"/>
          <w:szCs w:val="24"/>
          <w:lang w:val="ka-GE"/>
        </w:rPr>
        <w:t>სხვაობა</w:t>
      </w:r>
      <w:r w:rsidR="00DB5F05">
        <w:rPr>
          <w:rFonts w:ascii="Sylfaen" w:hAnsi="Sylfaen"/>
          <w:sz w:val="24"/>
          <w:szCs w:val="24"/>
          <w:lang w:val="ka-GE"/>
        </w:rPr>
        <w:t xml:space="preserve"> </w:t>
      </w:r>
      <w:r w:rsidR="0087012B" w:rsidRPr="007D75DB">
        <w:rPr>
          <w:rFonts w:ascii="Sylfaen" w:hAnsi="Sylfaen"/>
          <w:sz w:val="24"/>
          <w:szCs w:val="24"/>
          <w:lang w:val="ka-GE"/>
        </w:rPr>
        <w:t>საქართველოსა და სხვა საშუალო შემოსვალის ქვეყნებს შორის</w:t>
      </w:r>
      <w:r w:rsidR="00DB5F05">
        <w:rPr>
          <w:rFonts w:ascii="Sylfaen" w:hAnsi="Sylfaen"/>
          <w:sz w:val="24"/>
          <w:szCs w:val="24"/>
          <w:lang w:val="ka-GE"/>
        </w:rPr>
        <w:t>,</w:t>
      </w:r>
      <w:r w:rsidR="0087012B" w:rsidRPr="007D75DB">
        <w:rPr>
          <w:rFonts w:ascii="Sylfaen" w:hAnsi="Sylfaen"/>
          <w:sz w:val="24"/>
          <w:szCs w:val="24"/>
          <w:lang w:val="ka-GE"/>
        </w:rPr>
        <w:t xml:space="preserve"> მნიშვნელოვნად გაიზარდა 2010 წლიდან.</w:t>
      </w:r>
    </w:p>
    <w:p w14:paraId="57CBB154" w14:textId="77777777" w:rsidR="0087012B" w:rsidRPr="007D75DB" w:rsidRDefault="0087012B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გრაფიკი 5. ჯანდაცვაზე სახელმწიფო დანახაჯები და მშპ, ევროპის რეგიონი, 2014</w:t>
      </w:r>
    </w:p>
    <w:p w14:paraId="3C5ED51C" w14:textId="77777777" w:rsidR="0096438E" w:rsidRPr="00EB577D" w:rsidRDefault="0096438E" w:rsidP="0096438E">
      <w:pPr>
        <w:rPr>
          <w:rFonts w:ascii="Arial" w:hAnsi="Arial" w:cs="Arial"/>
        </w:rPr>
      </w:pPr>
      <w:r w:rsidRPr="00EB577D">
        <w:rPr>
          <w:rFonts w:ascii="Arial" w:hAnsi="Arial" w:cs="Arial"/>
          <w:noProof/>
        </w:rPr>
        <w:drawing>
          <wp:inline distT="0" distB="0" distL="0" distR="0" wp14:anchorId="377266B0" wp14:editId="3ADA5244">
            <wp:extent cx="5143500" cy="3405188"/>
            <wp:effectExtent l="0" t="0" r="0" b="50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2254BD" w14:textId="36520D88" w:rsidR="0087012B" w:rsidRPr="00C432FB" w:rsidRDefault="0087012B" w:rsidP="00641F9E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</w:t>
      </w:r>
      <w:r w:rsidR="00AC0F1D">
        <w:rPr>
          <w:rFonts w:ascii="Sylfaen" w:hAnsi="Sylfaen"/>
          <w:sz w:val="20"/>
          <w:szCs w:val="20"/>
          <w:lang w:val="ka-GE"/>
        </w:rPr>
        <w:t>ჯანმრთელობის</w:t>
      </w:r>
      <w:r w:rsidR="00AC0F1D" w:rsidRPr="00C432FB">
        <w:rPr>
          <w:rFonts w:ascii="Sylfaen" w:hAnsi="Sylfaen"/>
          <w:sz w:val="20"/>
          <w:szCs w:val="20"/>
          <w:lang w:val="ka-GE"/>
        </w:rPr>
        <w:t xml:space="preserve"> </w:t>
      </w:r>
      <w:r w:rsidRPr="00C432FB">
        <w:rPr>
          <w:rFonts w:ascii="Sylfaen" w:hAnsi="Sylfaen"/>
          <w:sz w:val="20"/>
          <w:szCs w:val="20"/>
          <w:lang w:val="ka-GE"/>
        </w:rPr>
        <w:t>მსოფლიო ორგანიზაციის მონაცემები: წითელი=საქართველო; მუქი ლურჯი=მაღალი შემოსავლის ქვეყნები; საშუალო ლურჯი=უფრო მაღალი საშუალო შემოსავლის ქვეყნები; ღია ლურჯი=უფრო დაბალი საშუალო შემოსავლის მქონე ქვეყნები.</w:t>
      </w:r>
    </w:p>
    <w:p w14:paraId="28A56500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C208A89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76FAC4C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231A345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55168BB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F2B9F88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793F6D4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270F55D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281BC2B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61C66C2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91987AA" w14:textId="46DBD892" w:rsidR="0087012B" w:rsidRPr="007D75DB" w:rsidRDefault="0087012B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lastRenderedPageBreak/>
        <w:t>გრაფიკი 6. ჯანდაცვაზე სახელმწიფო დანახარჯები</w:t>
      </w:r>
      <w:r w:rsidR="0008085E">
        <w:rPr>
          <w:rFonts w:ascii="Sylfaen" w:hAnsi="Sylfaen"/>
          <w:b/>
          <w:sz w:val="24"/>
          <w:szCs w:val="24"/>
          <w:lang w:val="ka-GE"/>
        </w:rPr>
        <w:t>ს ხვედრითი წილი</w:t>
      </w:r>
      <w:r w:rsidRPr="007D75DB">
        <w:rPr>
          <w:rFonts w:ascii="Sylfaen" w:hAnsi="Sylfaen"/>
          <w:b/>
          <w:sz w:val="24"/>
          <w:szCs w:val="24"/>
          <w:lang w:val="ka-GE"/>
        </w:rPr>
        <w:t>სახელმწიფო ბიუჯეტი</w:t>
      </w:r>
      <w:r w:rsidR="0008085E">
        <w:rPr>
          <w:rFonts w:ascii="Sylfaen" w:hAnsi="Sylfaen"/>
          <w:b/>
          <w:sz w:val="24"/>
          <w:szCs w:val="24"/>
          <w:lang w:val="ka-GE"/>
        </w:rPr>
        <w:t>დან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(%), საქართველო</w:t>
      </w:r>
      <w:r w:rsidR="0008085E">
        <w:rPr>
          <w:rFonts w:ascii="Sylfaen" w:hAnsi="Sylfaen"/>
          <w:b/>
          <w:sz w:val="24"/>
          <w:szCs w:val="24"/>
          <w:lang w:val="ka-GE"/>
        </w:rPr>
        <w:t>ს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და ევროპის რეგიონის</w:t>
      </w:r>
      <w:r w:rsidR="0008085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85E" w:rsidRPr="007D75DB">
        <w:rPr>
          <w:rFonts w:ascii="Sylfaen" w:hAnsi="Sylfaen"/>
          <w:b/>
          <w:sz w:val="24"/>
          <w:szCs w:val="24"/>
          <w:lang w:val="ka-GE"/>
        </w:rPr>
        <w:t>ქვეყნები</w:t>
      </w:r>
      <w:r w:rsidR="0008085E">
        <w:rPr>
          <w:rFonts w:ascii="Sylfaen" w:hAnsi="Sylfaen"/>
          <w:b/>
          <w:sz w:val="24"/>
          <w:szCs w:val="24"/>
          <w:lang w:val="ka-GE"/>
        </w:rPr>
        <w:t>ს საშუალო მაჩვენებლები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 შემოსავლების ჯგუფის </w:t>
      </w:r>
      <w:r w:rsidR="0008085E">
        <w:rPr>
          <w:rFonts w:ascii="Sylfaen" w:hAnsi="Sylfaen"/>
          <w:b/>
          <w:sz w:val="24"/>
          <w:szCs w:val="24"/>
          <w:lang w:val="ka-GE"/>
        </w:rPr>
        <w:t>მიხედვით</w:t>
      </w:r>
      <w:r w:rsidRPr="007D75DB">
        <w:rPr>
          <w:rFonts w:ascii="Sylfaen" w:hAnsi="Sylfaen"/>
          <w:b/>
          <w:sz w:val="24"/>
          <w:szCs w:val="24"/>
          <w:lang w:val="ka-GE"/>
        </w:rPr>
        <w:t>, 2000-2014</w:t>
      </w:r>
    </w:p>
    <w:p w14:paraId="737656A7" w14:textId="77777777" w:rsidR="0096438E" w:rsidRPr="00EB577D" w:rsidRDefault="0096438E" w:rsidP="0096438E">
      <w:pPr>
        <w:rPr>
          <w:rFonts w:ascii="Arial" w:hAnsi="Arial" w:cs="Arial"/>
          <w:sz w:val="20"/>
          <w:szCs w:val="20"/>
        </w:rPr>
      </w:pPr>
      <w:r w:rsidRPr="00EB577D">
        <w:rPr>
          <w:rFonts w:ascii="Arial" w:hAnsi="Arial" w:cs="Arial"/>
          <w:noProof/>
        </w:rPr>
        <w:drawing>
          <wp:inline distT="0" distB="0" distL="0" distR="0" wp14:anchorId="6492DCDB" wp14:editId="712FBBCF">
            <wp:extent cx="5334000" cy="3143250"/>
            <wp:effectExtent l="0" t="0" r="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DE732F7" w14:textId="7B1032EA" w:rsidR="0087012B" w:rsidRPr="00C432FB" w:rsidRDefault="0087012B" w:rsidP="00641F9E">
      <w:pPr>
        <w:spacing w:line="240" w:lineRule="auto"/>
        <w:jc w:val="both"/>
        <w:rPr>
          <w:rFonts w:ascii="Sylfaen" w:hAnsi="Sylfaen"/>
          <w:sz w:val="20"/>
          <w:szCs w:val="20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</w:t>
      </w:r>
      <w:r w:rsidR="00AC0F1D">
        <w:rPr>
          <w:rFonts w:ascii="Sylfaen" w:hAnsi="Sylfaen"/>
          <w:sz w:val="20"/>
          <w:szCs w:val="20"/>
          <w:lang w:val="ka-GE"/>
        </w:rPr>
        <w:t>ჯანმრთელობის</w:t>
      </w:r>
      <w:r w:rsidRPr="00C432FB">
        <w:rPr>
          <w:rFonts w:ascii="Sylfaen" w:hAnsi="Sylfaen"/>
          <w:sz w:val="20"/>
          <w:szCs w:val="20"/>
          <w:lang w:val="ka-GE"/>
        </w:rPr>
        <w:t xml:space="preserve"> მსოფლიო ორგანიზაციის მონაცემები: </w:t>
      </w:r>
      <w:r w:rsidRPr="00C432FB">
        <w:rPr>
          <w:rFonts w:ascii="Sylfaen" w:hAnsi="Sylfaen"/>
          <w:sz w:val="20"/>
          <w:szCs w:val="20"/>
        </w:rPr>
        <w:t>HIC</w:t>
      </w:r>
      <w:r w:rsidRPr="00C432FB">
        <w:rPr>
          <w:rFonts w:ascii="Sylfaen" w:hAnsi="Sylfaen"/>
          <w:sz w:val="20"/>
          <w:szCs w:val="20"/>
          <w:lang w:val="ka-GE"/>
        </w:rPr>
        <w:t xml:space="preserve">=მაღალი შემოსავლების ქვეყნები; </w:t>
      </w:r>
      <w:r w:rsidRPr="00C432FB">
        <w:rPr>
          <w:rFonts w:ascii="Sylfaen" w:hAnsi="Sylfaen"/>
          <w:sz w:val="20"/>
          <w:szCs w:val="20"/>
        </w:rPr>
        <w:t>UMIC=</w:t>
      </w:r>
      <w:r w:rsidRPr="00C432FB">
        <w:rPr>
          <w:rFonts w:ascii="Sylfaen" w:hAnsi="Sylfaen"/>
          <w:sz w:val="20"/>
          <w:szCs w:val="20"/>
          <w:lang w:val="ka-GE"/>
        </w:rPr>
        <w:t xml:space="preserve">უფრო მაღალი საშუალო შემოსავლის ქვეყნები; </w:t>
      </w:r>
      <w:r w:rsidRPr="00C432FB">
        <w:rPr>
          <w:rFonts w:ascii="Sylfaen" w:hAnsi="Sylfaen"/>
          <w:sz w:val="20"/>
          <w:szCs w:val="20"/>
        </w:rPr>
        <w:t>LMIC=</w:t>
      </w:r>
      <w:r w:rsidRPr="00C432FB">
        <w:rPr>
          <w:rFonts w:ascii="Sylfaen" w:hAnsi="Sylfaen"/>
          <w:sz w:val="20"/>
          <w:szCs w:val="20"/>
          <w:lang w:val="ka-GE"/>
        </w:rPr>
        <w:t>უფრო დაბალი საშუალო შემოსავლის მქონე ქვეყნები.</w:t>
      </w:r>
    </w:p>
    <w:p w14:paraId="2F0EF10B" w14:textId="0D013568" w:rsidR="0008085E" w:rsidRPr="006D1332" w:rsidRDefault="0008085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ჯანდაცვის სექტორიში ლიმიტირებული სახელმწიფო ინვესტიციების გამო, მაღალია ჯანდაცვაზე ჯ</w:t>
      </w:r>
      <w:r w:rsidR="004F5FF8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>ბიდან გადახდები (გრაფ</w:t>
      </w:r>
      <w:r w:rsidR="006D1332">
        <w:rPr>
          <w:rFonts w:ascii="Sylfaen" w:hAnsi="Sylfaen"/>
          <w:b/>
          <w:sz w:val="24"/>
          <w:szCs w:val="24"/>
          <w:lang w:val="ka-GE"/>
        </w:rPr>
        <w:t>იკ</w:t>
      </w:r>
      <w:r>
        <w:rPr>
          <w:rFonts w:ascii="Sylfaen" w:hAnsi="Sylfaen"/>
          <w:b/>
          <w:sz w:val="24"/>
          <w:szCs w:val="24"/>
          <w:lang w:val="ka-GE"/>
        </w:rPr>
        <w:t>ი 7).</w:t>
      </w:r>
      <w:r w:rsidR="009A06E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A06E8" w:rsidRPr="009A06E8">
        <w:rPr>
          <w:rFonts w:ascii="Sylfaen" w:hAnsi="Sylfaen"/>
          <w:sz w:val="24"/>
          <w:szCs w:val="24"/>
          <w:lang w:val="ka-GE"/>
        </w:rPr>
        <w:t xml:space="preserve">ჯანდაცვის სისტემის </w:t>
      </w:r>
      <w:r w:rsidR="009A06E8">
        <w:rPr>
          <w:rFonts w:ascii="Sylfaen" w:hAnsi="Sylfaen"/>
          <w:sz w:val="24"/>
          <w:szCs w:val="24"/>
          <w:lang w:val="ka-GE"/>
        </w:rPr>
        <w:t>ეფექტიანობის გაუმჯობესებისათვის</w:t>
      </w:r>
      <w:r w:rsidR="009A06E8">
        <w:rPr>
          <w:rFonts w:ascii="Sylfaen" w:hAnsi="Sylfaen"/>
          <w:sz w:val="24"/>
          <w:szCs w:val="24"/>
        </w:rPr>
        <w:t>,</w:t>
      </w:r>
      <w:r w:rsidR="009A06E8" w:rsidRPr="009A06E8">
        <w:rPr>
          <w:rFonts w:ascii="Sylfaen" w:hAnsi="Sylfaen"/>
          <w:sz w:val="24"/>
          <w:szCs w:val="24"/>
          <w:lang w:val="ka-GE"/>
        </w:rPr>
        <w:t xml:space="preserve"> </w:t>
      </w:r>
      <w:r w:rsidR="009A06E8">
        <w:rPr>
          <w:rFonts w:ascii="Sylfaen" w:hAnsi="Sylfaen"/>
          <w:sz w:val="24"/>
          <w:szCs w:val="24"/>
          <w:lang w:val="ka-GE"/>
        </w:rPr>
        <w:t>განსაკუთრებით ხელმისაწვდომობისა და ფინანსური დაცულობის კუთხით, მნიშვნელოვანია ჯანდაცვაზე ჯიბიდან გადახდების შემცირება (</w:t>
      </w:r>
      <w:r w:rsidR="009A06E8">
        <w:rPr>
          <w:rFonts w:ascii="Sylfaen" w:hAnsi="Sylfaen"/>
          <w:sz w:val="24"/>
          <w:szCs w:val="24"/>
        </w:rPr>
        <w:t>OOPs)</w:t>
      </w:r>
      <w:r w:rsidR="006D1332">
        <w:rPr>
          <w:rFonts w:ascii="Sylfaen" w:hAnsi="Sylfaen"/>
          <w:sz w:val="24"/>
          <w:szCs w:val="24"/>
          <w:lang w:val="ka-GE"/>
        </w:rPr>
        <w:t>.</w:t>
      </w:r>
    </w:p>
    <w:p w14:paraId="3A2404D1" w14:textId="16CD6E05" w:rsidR="003754CE" w:rsidRPr="007D75DB" w:rsidRDefault="003754C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432FB">
        <w:rPr>
          <w:rFonts w:ascii="Sylfaen" w:hAnsi="Sylfaen"/>
          <w:b/>
          <w:sz w:val="24"/>
          <w:szCs w:val="24"/>
          <w:lang w:val="ka-GE"/>
        </w:rPr>
        <w:t xml:space="preserve">ჯიბიდან გადახდების უმეტესობა, მათ შორის - </w:t>
      </w:r>
      <w:r w:rsidR="006D1332" w:rsidRPr="00C432FB">
        <w:rPr>
          <w:rFonts w:ascii="Sylfaen" w:hAnsi="Sylfaen"/>
          <w:b/>
          <w:sz w:val="24"/>
          <w:szCs w:val="24"/>
          <w:lang w:val="ka-GE"/>
        </w:rPr>
        <w:t>ჯიბიდან</w:t>
      </w:r>
      <w:r w:rsidR="006D13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432FB">
        <w:rPr>
          <w:rFonts w:ascii="Sylfaen" w:hAnsi="Sylfaen"/>
          <w:b/>
          <w:sz w:val="24"/>
          <w:szCs w:val="24"/>
          <w:lang w:val="ka-GE"/>
        </w:rPr>
        <w:t>კატასტროფული  გადახდები</w:t>
      </w:r>
      <w:r w:rsidR="009A06E8">
        <w:rPr>
          <w:rFonts w:ascii="Sylfaen" w:hAnsi="Sylfaen"/>
          <w:b/>
          <w:sz w:val="24"/>
          <w:szCs w:val="24"/>
          <w:lang w:val="ka-GE"/>
        </w:rPr>
        <w:t>,</w:t>
      </w:r>
      <w:r w:rsidRPr="00C432FB">
        <w:rPr>
          <w:rFonts w:ascii="Sylfaen" w:hAnsi="Sylfaen"/>
          <w:b/>
          <w:sz w:val="24"/>
          <w:szCs w:val="24"/>
          <w:lang w:val="ka-GE"/>
        </w:rPr>
        <w:t xml:space="preserve"> მოდის ამბულატორიულ მედიკამენტებზე.</w:t>
      </w:r>
      <w:r w:rsidRPr="007D75DB">
        <w:rPr>
          <w:rFonts w:ascii="Sylfaen" w:hAnsi="Sylfaen"/>
          <w:sz w:val="24"/>
          <w:szCs w:val="24"/>
          <w:lang w:val="ka-GE"/>
        </w:rPr>
        <w:t xml:space="preserve"> ჯიბიდან გადახდების </w:t>
      </w:r>
      <w:r w:rsidR="009A06E8" w:rsidRPr="007D75DB">
        <w:rPr>
          <w:rFonts w:ascii="Sylfaen" w:hAnsi="Sylfaen"/>
          <w:sz w:val="24"/>
          <w:szCs w:val="24"/>
          <w:lang w:val="ka-GE"/>
        </w:rPr>
        <w:t>შ</w:t>
      </w:r>
      <w:r w:rsidR="009A06E8">
        <w:rPr>
          <w:rFonts w:ascii="Sylfaen" w:hAnsi="Sylfaen"/>
          <w:sz w:val="24"/>
          <w:szCs w:val="24"/>
          <w:lang w:val="ka-GE"/>
        </w:rPr>
        <w:t>ესამცირებლად საჭიროა</w:t>
      </w:r>
      <w:r w:rsidR="009A06E8" w:rsidRPr="007D75DB">
        <w:rPr>
          <w:rFonts w:ascii="Sylfaen" w:hAnsi="Sylfaen"/>
          <w:sz w:val="24"/>
          <w:szCs w:val="24"/>
          <w:lang w:val="ka-GE"/>
        </w:rPr>
        <w:t xml:space="preserve">, </w:t>
      </w:r>
      <w:r w:rsidRPr="007D75DB">
        <w:rPr>
          <w:rFonts w:ascii="Sylfaen" w:hAnsi="Sylfaen"/>
          <w:sz w:val="24"/>
          <w:szCs w:val="24"/>
          <w:lang w:val="ka-GE"/>
        </w:rPr>
        <w:t xml:space="preserve"> ორი ძირითადი </w:t>
      </w:r>
      <w:r w:rsidR="009A06E8">
        <w:rPr>
          <w:rFonts w:ascii="Sylfaen" w:hAnsi="Sylfaen"/>
          <w:sz w:val="24"/>
          <w:szCs w:val="24"/>
          <w:lang w:val="ka-GE"/>
        </w:rPr>
        <w:t>ღონ</w:t>
      </w:r>
      <w:r w:rsidR="004F5FF8">
        <w:rPr>
          <w:rFonts w:ascii="Sylfaen" w:hAnsi="Sylfaen"/>
          <w:sz w:val="24"/>
          <w:szCs w:val="24"/>
          <w:lang w:val="ka-GE"/>
        </w:rPr>
        <w:t>ი</w:t>
      </w:r>
      <w:r w:rsidR="009A06E8">
        <w:rPr>
          <w:rFonts w:ascii="Sylfaen" w:hAnsi="Sylfaen"/>
          <w:sz w:val="24"/>
          <w:szCs w:val="24"/>
          <w:lang w:val="ka-GE"/>
        </w:rPr>
        <w:t xml:space="preserve">სძიების დაგეგმვა </w:t>
      </w:r>
      <w:r w:rsidR="009A06E8" w:rsidRPr="007D75DB">
        <w:rPr>
          <w:rFonts w:ascii="Sylfaen" w:hAnsi="Sylfaen"/>
          <w:sz w:val="24"/>
          <w:szCs w:val="24"/>
          <w:lang w:val="ka-GE"/>
        </w:rPr>
        <w:t>:</w:t>
      </w:r>
    </w:p>
    <w:p w14:paraId="12D98D1C" w14:textId="4102E968" w:rsidR="003754CE" w:rsidRPr="007D75DB" w:rsidRDefault="003754CE" w:rsidP="00641F9E">
      <w:pPr>
        <w:pStyle w:val="ListParagraph"/>
        <w:numPr>
          <w:ilvl w:val="0"/>
          <w:numId w:val="7"/>
        </w:numPr>
        <w:spacing w:line="240" w:lineRule="auto"/>
        <w:ind w:left="714" w:hanging="357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>ხარჯთეფექტური მედიკამენტით მოცვის გაზრდა, მათ შორის, ქრონიკული მდგომარეობების სამკურნალო მედიკამენტები</w:t>
      </w:r>
      <w:r w:rsidR="009A06E8">
        <w:rPr>
          <w:rFonts w:ascii="Sylfaen" w:hAnsi="Sylfaen"/>
          <w:sz w:val="24"/>
          <w:szCs w:val="24"/>
          <w:lang w:val="ka-GE"/>
        </w:rPr>
        <w:t>თ</w:t>
      </w:r>
      <w:r w:rsidRPr="007D75DB">
        <w:rPr>
          <w:rFonts w:ascii="Sylfaen" w:hAnsi="Sylfaen"/>
          <w:sz w:val="24"/>
          <w:szCs w:val="24"/>
          <w:lang w:val="ka-GE"/>
        </w:rPr>
        <w:t xml:space="preserve"> (არაგადამდები დაავადებები</w:t>
      </w:r>
      <w:r w:rsidRPr="007D75DB">
        <w:rPr>
          <w:rFonts w:ascii="Sylfaen" w:hAnsi="Sylfaen"/>
          <w:sz w:val="24"/>
          <w:szCs w:val="24"/>
        </w:rPr>
        <w:t>).</w:t>
      </w:r>
    </w:p>
    <w:p w14:paraId="3F073414" w14:textId="5604EF1A" w:rsidR="003754CE" w:rsidRPr="007D75DB" w:rsidRDefault="00CC555B" w:rsidP="00641F9E">
      <w:pPr>
        <w:pStyle w:val="ListParagraph"/>
        <w:numPr>
          <w:ilvl w:val="0"/>
          <w:numId w:val="7"/>
        </w:numPr>
        <w:spacing w:line="240" w:lineRule="auto"/>
        <w:ind w:left="714" w:hanging="357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t xml:space="preserve">შესაბამისი პოლიტიკის გატარება, რათა ჯანდაცვის სერვისები და მედიკამენტები </w:t>
      </w:r>
      <w:r w:rsidR="009A06E8">
        <w:rPr>
          <w:rFonts w:ascii="Sylfaen" w:hAnsi="Sylfaen"/>
          <w:sz w:val="24"/>
          <w:szCs w:val="24"/>
          <w:lang w:val="ka-GE"/>
        </w:rPr>
        <w:t xml:space="preserve">უფრო დაბალ ფასად გახდეს </w:t>
      </w:r>
      <w:r w:rsidRPr="007D75DB">
        <w:rPr>
          <w:rFonts w:ascii="Sylfaen" w:hAnsi="Sylfaen"/>
          <w:sz w:val="24"/>
          <w:szCs w:val="24"/>
          <w:lang w:val="ka-GE"/>
        </w:rPr>
        <w:t xml:space="preserve">ხელმისაწვდომი </w:t>
      </w:r>
      <w:r w:rsidR="009A06E8">
        <w:rPr>
          <w:rFonts w:ascii="Sylfaen" w:hAnsi="Sylfaen"/>
          <w:sz w:val="24"/>
          <w:szCs w:val="24"/>
          <w:lang w:val="ka-GE"/>
        </w:rPr>
        <w:t xml:space="preserve">და გაიზარდოს ფინანსური დაცულობა </w:t>
      </w:r>
      <w:r w:rsidR="00AC1405" w:rsidRPr="007D75DB">
        <w:rPr>
          <w:rFonts w:ascii="Sylfaen" w:hAnsi="Sylfaen"/>
          <w:sz w:val="24"/>
          <w:szCs w:val="24"/>
          <w:lang w:val="ka-GE"/>
        </w:rPr>
        <w:t>ღარიბი მოქალაქეების</w:t>
      </w:r>
      <w:r w:rsidR="009A06E8">
        <w:rPr>
          <w:rFonts w:ascii="Sylfaen" w:hAnsi="Sylfaen"/>
          <w:sz w:val="24"/>
          <w:szCs w:val="24"/>
          <w:lang w:val="ka-GE"/>
        </w:rPr>
        <w:t>თვის</w:t>
      </w:r>
      <w:r w:rsidR="00AC1405" w:rsidRPr="007D75DB">
        <w:rPr>
          <w:rFonts w:ascii="Sylfaen" w:hAnsi="Sylfaen"/>
          <w:sz w:val="24"/>
          <w:szCs w:val="24"/>
          <w:lang w:val="ka-GE"/>
        </w:rPr>
        <w:t>, სნეული ადამიანების და სხვა მოწყვლადი ჯგუფების</w:t>
      </w:r>
      <w:r w:rsidR="009A06E8">
        <w:rPr>
          <w:rFonts w:ascii="Sylfaen" w:hAnsi="Sylfaen"/>
          <w:sz w:val="24"/>
          <w:szCs w:val="24"/>
          <w:lang w:val="ka-GE"/>
        </w:rPr>
        <w:t xml:space="preserve">თვის. </w:t>
      </w:r>
    </w:p>
    <w:p w14:paraId="1265B2FE" w14:textId="61ED433D" w:rsidR="00AC1405" w:rsidRDefault="00AC1405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D75DB">
        <w:rPr>
          <w:rFonts w:ascii="Sylfaen" w:hAnsi="Sylfaen"/>
          <w:sz w:val="24"/>
          <w:szCs w:val="24"/>
          <w:lang w:val="ka-GE"/>
        </w:rPr>
        <w:lastRenderedPageBreak/>
        <w:t xml:space="preserve">კერძო ან ნებაყოფლობითი დაზღვევა უკეთესია, ვიდრე ჯიბიდან გადახდები, </w:t>
      </w:r>
      <w:r w:rsidRPr="00C432FB">
        <w:rPr>
          <w:rFonts w:ascii="Sylfaen" w:hAnsi="Sylfaen"/>
          <w:b/>
          <w:sz w:val="24"/>
          <w:szCs w:val="24"/>
          <w:lang w:val="ka-GE"/>
        </w:rPr>
        <w:t>მაგრამ კერძო ან ნებაყოფლობით დაზღვევაზე გაზრდილმა მოლოდინმა ნაკლებ</w:t>
      </w:r>
      <w:r w:rsidR="009348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432FB">
        <w:rPr>
          <w:rFonts w:ascii="Sylfaen" w:hAnsi="Sylfaen"/>
          <w:b/>
          <w:sz w:val="24"/>
          <w:szCs w:val="24"/>
          <w:lang w:val="ka-GE"/>
        </w:rPr>
        <w:t xml:space="preserve">სავარაუდოა, რომ მნიშვნელოვნად შეამციროს ჯიბიდან გადახდები ან </w:t>
      </w:r>
      <w:r w:rsidR="00C432FB">
        <w:rPr>
          <w:rFonts w:ascii="Sylfaen" w:hAnsi="Sylfaen"/>
          <w:b/>
          <w:sz w:val="24"/>
          <w:szCs w:val="24"/>
          <w:lang w:val="ka-GE"/>
        </w:rPr>
        <w:t>გააიოლოს</w:t>
      </w:r>
      <w:r w:rsidRPr="00C432FB">
        <w:rPr>
          <w:rFonts w:ascii="Sylfaen" w:hAnsi="Sylfaen"/>
          <w:b/>
          <w:sz w:val="24"/>
          <w:szCs w:val="24"/>
          <w:lang w:val="ka-GE"/>
        </w:rPr>
        <w:t xml:space="preserve"> ხელმისაწვდომობა და </w:t>
      </w:r>
      <w:r w:rsidR="00C432FB">
        <w:rPr>
          <w:rFonts w:ascii="Sylfaen" w:hAnsi="Sylfaen"/>
          <w:b/>
          <w:sz w:val="24"/>
          <w:szCs w:val="24"/>
          <w:lang w:val="ka-GE"/>
        </w:rPr>
        <w:t xml:space="preserve">შეამციროს </w:t>
      </w:r>
      <w:r w:rsidRPr="00C432FB">
        <w:rPr>
          <w:rFonts w:ascii="Sylfaen" w:hAnsi="Sylfaen"/>
          <w:b/>
          <w:sz w:val="24"/>
          <w:szCs w:val="24"/>
          <w:lang w:val="ka-GE"/>
        </w:rPr>
        <w:t xml:space="preserve">ფინანსური </w:t>
      </w:r>
      <w:r w:rsidR="00F377CB" w:rsidRPr="00C432FB">
        <w:rPr>
          <w:rFonts w:ascii="Sylfaen" w:hAnsi="Sylfaen"/>
          <w:b/>
          <w:sz w:val="24"/>
          <w:szCs w:val="24"/>
          <w:lang w:val="ka-GE"/>
        </w:rPr>
        <w:t xml:space="preserve">დაცულობის </w:t>
      </w:r>
      <w:r w:rsidRPr="00C432FB">
        <w:rPr>
          <w:rFonts w:ascii="Sylfaen" w:hAnsi="Sylfaen"/>
          <w:b/>
          <w:sz w:val="24"/>
          <w:szCs w:val="24"/>
          <w:lang w:val="ka-GE"/>
        </w:rPr>
        <w:t>პრობლემებ</w:t>
      </w:r>
      <w:r w:rsidR="00C432FB">
        <w:rPr>
          <w:rFonts w:ascii="Sylfaen" w:hAnsi="Sylfaen"/>
          <w:b/>
          <w:sz w:val="24"/>
          <w:szCs w:val="24"/>
          <w:lang w:val="ka-GE"/>
        </w:rPr>
        <w:t>ი</w:t>
      </w:r>
      <w:r w:rsidR="00F377CB" w:rsidRPr="00C432FB">
        <w:rPr>
          <w:rFonts w:ascii="Sylfaen" w:hAnsi="Sylfaen"/>
          <w:b/>
          <w:sz w:val="24"/>
          <w:szCs w:val="24"/>
          <w:lang w:val="ka-GE"/>
        </w:rPr>
        <w:t xml:space="preserve"> საქართველოში.</w:t>
      </w:r>
      <w:r w:rsidRPr="00C432FB">
        <w:rPr>
          <w:rFonts w:ascii="Sylfaen" w:hAnsi="Sylfaen"/>
          <w:sz w:val="24"/>
          <w:szCs w:val="24"/>
          <w:lang w:val="ka-GE"/>
        </w:rPr>
        <w:t xml:space="preserve"> </w:t>
      </w:r>
      <w:r w:rsidR="00C83FCE">
        <w:rPr>
          <w:rFonts w:ascii="Sylfaen" w:hAnsi="Sylfaen"/>
          <w:sz w:val="24"/>
          <w:szCs w:val="24"/>
          <w:lang w:val="ka-GE"/>
        </w:rPr>
        <w:t xml:space="preserve">ეს განპირობებულია იმით, რომ </w:t>
      </w:r>
      <w:r w:rsidR="00F377CB" w:rsidRPr="007D75DB">
        <w:rPr>
          <w:rFonts w:ascii="Sylfaen" w:hAnsi="Sylfaen"/>
          <w:sz w:val="24"/>
          <w:szCs w:val="24"/>
          <w:lang w:val="ka-GE"/>
        </w:rPr>
        <w:t>პრობლემები ყველაზე უფრო მწვავეა ამბულატორიული მედიკამენტების, უფრო ღარიბი მოსახლეობისა და სოფლად მცხოვრები ადამიანების შემთხვევაში, ხოლო კერძო ან ნებაყოფლობითი დაზღვევა</w:t>
      </w:r>
      <w:r w:rsidR="00C83FCE">
        <w:rPr>
          <w:rFonts w:ascii="Sylfaen" w:hAnsi="Sylfaen"/>
          <w:sz w:val="24"/>
          <w:szCs w:val="24"/>
          <w:lang w:val="ka-GE"/>
        </w:rPr>
        <w:t>,</w:t>
      </w:r>
      <w:r w:rsidR="00F377CB" w:rsidRPr="007D75DB">
        <w:rPr>
          <w:rFonts w:ascii="Sylfaen" w:hAnsi="Sylfaen"/>
          <w:sz w:val="24"/>
          <w:szCs w:val="24"/>
          <w:lang w:val="ka-GE"/>
        </w:rPr>
        <w:t xml:space="preserve"> -ზოგადად, ქვეყნების მასშტაბით - არ თამაშ</w:t>
      </w:r>
      <w:r w:rsidR="009348C0">
        <w:rPr>
          <w:rFonts w:ascii="Sylfaen" w:hAnsi="Sylfaen"/>
          <w:sz w:val="24"/>
          <w:szCs w:val="24"/>
          <w:lang w:val="ka-GE"/>
        </w:rPr>
        <w:t>ო</w:t>
      </w:r>
      <w:r w:rsidR="00F377CB" w:rsidRPr="007D75DB">
        <w:rPr>
          <w:rFonts w:ascii="Sylfaen" w:hAnsi="Sylfaen"/>
          <w:sz w:val="24"/>
          <w:szCs w:val="24"/>
          <w:lang w:val="ka-GE"/>
        </w:rPr>
        <w:t xml:space="preserve">ბს მნიშვნელოვან როლს 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F377CB" w:rsidRPr="007D75DB">
        <w:rPr>
          <w:rFonts w:ascii="Sylfaen" w:hAnsi="Sylfaen"/>
          <w:sz w:val="24"/>
          <w:szCs w:val="24"/>
          <w:lang w:val="ka-GE"/>
        </w:rPr>
        <w:t xml:space="preserve">ამბულატორიული </w:t>
      </w:r>
      <w:r w:rsidR="00C83FCE" w:rsidRPr="007D75DB">
        <w:rPr>
          <w:rFonts w:ascii="Sylfaen" w:hAnsi="Sylfaen"/>
          <w:sz w:val="24"/>
          <w:szCs w:val="24"/>
          <w:lang w:val="ka-GE"/>
        </w:rPr>
        <w:t>მედიკამენტები</w:t>
      </w:r>
      <w:r w:rsidR="00C83FCE">
        <w:rPr>
          <w:rFonts w:ascii="Sylfaen" w:hAnsi="Sylfaen"/>
          <w:sz w:val="24"/>
          <w:szCs w:val="24"/>
          <w:lang w:val="ka-GE"/>
        </w:rPr>
        <w:t>ს,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C83FCE">
        <w:rPr>
          <w:rFonts w:ascii="Sylfaen" w:hAnsi="Sylfaen"/>
          <w:sz w:val="24"/>
          <w:szCs w:val="24"/>
          <w:lang w:val="ka-GE"/>
        </w:rPr>
        <w:t xml:space="preserve">ან 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ღარიბი და სოფლად მცხოვრები </w:t>
      </w:r>
      <w:r w:rsidR="00C83FCE">
        <w:rPr>
          <w:rFonts w:ascii="Sylfaen" w:hAnsi="Sylfaen"/>
          <w:sz w:val="24"/>
          <w:szCs w:val="24"/>
          <w:lang w:val="ka-GE"/>
        </w:rPr>
        <w:t xml:space="preserve">მოსახლეობის </w:t>
      </w:r>
      <w:r w:rsidR="00F377CB" w:rsidRPr="007D75DB">
        <w:rPr>
          <w:rFonts w:ascii="Sylfaen" w:hAnsi="Sylfaen"/>
          <w:sz w:val="24"/>
          <w:szCs w:val="24"/>
          <w:lang w:val="ka-GE"/>
        </w:rPr>
        <w:t>დაფარვაში.</w:t>
      </w:r>
    </w:p>
    <w:p w14:paraId="76970397" w14:textId="77777777" w:rsidR="00C83FCE" w:rsidRDefault="00C83FC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E084A47" w14:textId="60FF2589" w:rsidR="00C83FCE" w:rsidRPr="007D75DB" w:rsidRDefault="00C83FCE" w:rsidP="00C83F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 xml:space="preserve">გრაფიკი 7 </w:t>
      </w:r>
      <w:r>
        <w:rPr>
          <w:rFonts w:ascii="Sylfaen" w:hAnsi="Sylfaen"/>
          <w:b/>
          <w:sz w:val="24"/>
          <w:szCs w:val="24"/>
          <w:lang w:val="ka-GE"/>
        </w:rPr>
        <w:t xml:space="preserve">ჯანდაცვაზე </w:t>
      </w:r>
      <w:r w:rsidRPr="007D75DB">
        <w:rPr>
          <w:rFonts w:ascii="Sylfaen" w:hAnsi="Sylfaen"/>
          <w:b/>
          <w:sz w:val="24"/>
          <w:szCs w:val="24"/>
          <w:lang w:val="ka-GE"/>
        </w:rPr>
        <w:t>ჯიბიდან გადახდები</w:t>
      </w:r>
      <w:r>
        <w:rPr>
          <w:rFonts w:ascii="Sylfaen" w:hAnsi="Sylfaen"/>
          <w:b/>
          <w:sz w:val="24"/>
          <w:szCs w:val="24"/>
          <w:lang w:val="ka-GE"/>
        </w:rPr>
        <w:t xml:space="preserve">ს ხვედრითი წილი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 ჯანდაცვაზე მთლიანი დან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Pr="007D75DB">
        <w:rPr>
          <w:rFonts w:ascii="Sylfaen" w:hAnsi="Sylfaen"/>
          <w:b/>
          <w:sz w:val="24"/>
          <w:szCs w:val="24"/>
          <w:lang w:val="ka-GE"/>
        </w:rPr>
        <w:t>ხრჯები</w:t>
      </w:r>
      <w:r>
        <w:rPr>
          <w:rFonts w:ascii="Sylfaen" w:hAnsi="Sylfaen"/>
          <w:b/>
          <w:sz w:val="24"/>
          <w:szCs w:val="24"/>
          <w:lang w:val="ka-GE"/>
        </w:rPr>
        <w:t>დან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(%), საქართველო და </w:t>
      </w:r>
      <w:r>
        <w:rPr>
          <w:rFonts w:ascii="Sylfaen" w:hAnsi="Sylfaen"/>
          <w:b/>
          <w:sz w:val="24"/>
          <w:szCs w:val="24"/>
          <w:lang w:val="ka-GE"/>
        </w:rPr>
        <w:t xml:space="preserve">ევროპის 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რეგიონის სხვა საშუალო შემოსავლის </w:t>
      </w:r>
      <w:r>
        <w:rPr>
          <w:rFonts w:ascii="Sylfaen" w:hAnsi="Sylfaen"/>
          <w:b/>
          <w:sz w:val="24"/>
          <w:szCs w:val="24"/>
          <w:lang w:val="ka-GE"/>
        </w:rPr>
        <w:t xml:space="preserve">მქონე </w:t>
      </w:r>
      <w:r w:rsidRPr="007D75DB">
        <w:rPr>
          <w:rFonts w:ascii="Sylfaen" w:hAnsi="Sylfaen"/>
          <w:b/>
          <w:sz w:val="24"/>
          <w:szCs w:val="24"/>
          <w:lang w:val="ka-GE"/>
        </w:rPr>
        <w:t>ქვეყნები, 2014</w:t>
      </w:r>
    </w:p>
    <w:p w14:paraId="1F168A32" w14:textId="77777777" w:rsidR="00C83FCE" w:rsidRPr="00EB577D" w:rsidRDefault="00C83FCE" w:rsidP="00C83FCE">
      <w:pPr>
        <w:rPr>
          <w:rFonts w:ascii="Arial" w:hAnsi="Arial" w:cs="Arial"/>
        </w:rPr>
      </w:pPr>
      <w:r w:rsidRPr="00EB577D">
        <w:rPr>
          <w:rFonts w:ascii="Arial" w:hAnsi="Arial" w:cs="Arial"/>
          <w:noProof/>
        </w:rPr>
        <w:drawing>
          <wp:inline distT="0" distB="0" distL="0" distR="0" wp14:anchorId="731C0ED5" wp14:editId="167206D4">
            <wp:extent cx="5334000" cy="34480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EC05224" w14:textId="374FF334" w:rsidR="00C83FCE" w:rsidRPr="00C432FB" w:rsidRDefault="00C83FCE" w:rsidP="00C83FCE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</w:t>
      </w:r>
      <w:r>
        <w:rPr>
          <w:rFonts w:ascii="Sylfaen" w:hAnsi="Sylfaen"/>
          <w:sz w:val="20"/>
          <w:szCs w:val="20"/>
          <w:lang w:val="ka-GE"/>
        </w:rPr>
        <w:t>ჯანმრთელობის</w:t>
      </w:r>
      <w:r w:rsidRPr="00C432FB">
        <w:rPr>
          <w:rFonts w:ascii="Sylfaen" w:hAnsi="Sylfaen"/>
          <w:sz w:val="20"/>
          <w:szCs w:val="20"/>
          <w:lang w:val="ka-GE"/>
        </w:rPr>
        <w:t xml:space="preserve"> მსოფლიო ორგანიზაციის მონაცემები: </w:t>
      </w:r>
      <w:r w:rsidRPr="00C432FB">
        <w:rPr>
          <w:rFonts w:ascii="Sylfaen" w:hAnsi="Sylfaen"/>
          <w:sz w:val="20"/>
          <w:szCs w:val="20"/>
        </w:rPr>
        <w:t>OOPs</w:t>
      </w:r>
      <w:r w:rsidRPr="00C432FB">
        <w:rPr>
          <w:rFonts w:ascii="Sylfaen" w:hAnsi="Sylfaen"/>
          <w:sz w:val="20"/>
          <w:szCs w:val="20"/>
          <w:lang w:val="ka-GE"/>
        </w:rPr>
        <w:t>=ჯიბიდან გადახდები;</w:t>
      </w:r>
      <w:r w:rsidRPr="00C432FB">
        <w:rPr>
          <w:rFonts w:ascii="Sylfaen" w:hAnsi="Sylfaen"/>
          <w:sz w:val="20"/>
          <w:szCs w:val="20"/>
        </w:rPr>
        <w:t xml:space="preserve"> </w:t>
      </w:r>
      <w:r w:rsidRPr="00C432FB">
        <w:rPr>
          <w:rFonts w:ascii="Sylfaen" w:hAnsi="Sylfaen"/>
          <w:sz w:val="20"/>
          <w:szCs w:val="20"/>
          <w:lang w:val="ka-GE"/>
        </w:rPr>
        <w:t xml:space="preserve"> </w:t>
      </w:r>
      <w:r w:rsidRPr="00C432FB">
        <w:rPr>
          <w:rFonts w:ascii="Sylfaen" w:hAnsi="Sylfaen"/>
          <w:sz w:val="20"/>
          <w:szCs w:val="20"/>
        </w:rPr>
        <w:t>HIC</w:t>
      </w:r>
      <w:r w:rsidRPr="00C432FB">
        <w:rPr>
          <w:rFonts w:ascii="Sylfaen" w:hAnsi="Sylfaen"/>
          <w:sz w:val="20"/>
          <w:szCs w:val="20"/>
          <w:lang w:val="ka-GE"/>
        </w:rPr>
        <w:t xml:space="preserve">=მაღალი შემოსავლების ქვეყნები; </w:t>
      </w:r>
      <w:r w:rsidRPr="00C432FB">
        <w:rPr>
          <w:rFonts w:ascii="Sylfaen" w:hAnsi="Sylfaen"/>
          <w:sz w:val="20"/>
          <w:szCs w:val="20"/>
        </w:rPr>
        <w:t>MIC=</w:t>
      </w:r>
      <w:r w:rsidRPr="00C432FB">
        <w:rPr>
          <w:rFonts w:ascii="Sylfaen" w:hAnsi="Sylfaen"/>
          <w:sz w:val="20"/>
          <w:szCs w:val="20"/>
          <w:lang w:val="ka-GE"/>
        </w:rPr>
        <w:t>საშუალო შემოსავლის ქვეყნები.</w:t>
      </w:r>
    </w:p>
    <w:p w14:paraId="6B0D732C" w14:textId="77777777" w:rsidR="00C83FCE" w:rsidRPr="007D75DB" w:rsidRDefault="00C83FC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202665E" w14:textId="77777777" w:rsidR="006D1332" w:rsidRDefault="006D1332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29077F0" w14:textId="5BC07D80" w:rsidR="00305EA9" w:rsidRPr="007D75DB" w:rsidRDefault="00C83FC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ვინაიდან, </w:t>
      </w:r>
      <w:r w:rsidR="00305EA9" w:rsidRPr="007D75DB">
        <w:rPr>
          <w:rFonts w:ascii="Sylfaen" w:hAnsi="Sylfaen"/>
          <w:b/>
          <w:sz w:val="24"/>
          <w:szCs w:val="24"/>
          <w:lang w:val="ka-GE"/>
        </w:rPr>
        <w:t>სახელმწიფოს დანახარჯები ჯანდაცვაზე ძალიან დაბალია,</w:t>
      </w:r>
      <w:r>
        <w:rPr>
          <w:rFonts w:ascii="Sylfaen" w:hAnsi="Sylfaen"/>
          <w:b/>
          <w:sz w:val="24"/>
          <w:szCs w:val="24"/>
          <w:lang w:val="ka-GE"/>
        </w:rPr>
        <w:t xml:space="preserve"> ამიტომ საკმაოდ რთულია თანაბარი</w:t>
      </w:r>
      <w:r w:rsidR="006D1332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ხელმისაწვდომობის, ფინანსური დაცულობის და ჯანდაცვის სისტემის ფუნქციონირების სხვა ასპექტების მნიშვნელოვნად გაუმჯობესება </w:t>
      </w:r>
      <w:r w:rsidR="00305EA9" w:rsidRPr="007D75DB">
        <w:rPr>
          <w:rFonts w:ascii="Sylfaen" w:hAnsi="Sylfaen"/>
          <w:b/>
          <w:sz w:val="24"/>
          <w:szCs w:val="24"/>
          <w:lang w:val="ka-GE"/>
        </w:rPr>
        <w:t>დამატებით</w:t>
      </w:r>
      <w:r w:rsidR="006D1332">
        <w:rPr>
          <w:rFonts w:ascii="Sylfaen" w:hAnsi="Sylfaen"/>
          <w:b/>
          <w:sz w:val="24"/>
          <w:szCs w:val="24"/>
          <w:lang w:val="ka-GE"/>
        </w:rPr>
        <w:t>ი</w:t>
      </w:r>
      <w:r w:rsidR="00305EA9" w:rsidRPr="007D75DB">
        <w:rPr>
          <w:rFonts w:ascii="Sylfaen" w:hAnsi="Sylfaen"/>
          <w:b/>
          <w:sz w:val="24"/>
          <w:szCs w:val="24"/>
          <w:lang w:val="ka-GE"/>
        </w:rPr>
        <w:t xml:space="preserve"> სახელმწიფო </w:t>
      </w:r>
      <w:r w:rsidRPr="007D75DB">
        <w:rPr>
          <w:rFonts w:ascii="Sylfaen" w:hAnsi="Sylfaen"/>
          <w:b/>
          <w:sz w:val="24"/>
          <w:szCs w:val="24"/>
          <w:lang w:val="ka-GE"/>
        </w:rPr>
        <w:t>ინვესტირებ</w:t>
      </w:r>
      <w:r>
        <w:rPr>
          <w:rFonts w:ascii="Sylfaen" w:hAnsi="Sylfaen"/>
          <w:b/>
          <w:sz w:val="24"/>
          <w:szCs w:val="24"/>
          <w:lang w:val="ka-GE"/>
        </w:rPr>
        <w:t>ის გარეშე.</w:t>
      </w:r>
      <w:r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D1332">
        <w:rPr>
          <w:rFonts w:ascii="Sylfaen" w:hAnsi="Sylfaen"/>
          <w:sz w:val="24"/>
          <w:szCs w:val="24"/>
          <w:lang w:val="ka-GE"/>
        </w:rPr>
        <w:t xml:space="preserve">დამატებითი ინვესტირება </w:t>
      </w:r>
      <w:r w:rsidR="00305EA9" w:rsidRPr="007D75DB">
        <w:rPr>
          <w:rFonts w:ascii="Sylfaen" w:hAnsi="Sylfaen"/>
          <w:sz w:val="24"/>
          <w:szCs w:val="24"/>
          <w:lang w:val="ka-GE"/>
        </w:rPr>
        <w:t xml:space="preserve">შემდეგი წყაროებისგან </w:t>
      </w:r>
      <w:r w:rsidR="000D680A" w:rsidRPr="007D75DB">
        <w:rPr>
          <w:rFonts w:ascii="Sylfaen" w:hAnsi="Sylfaen"/>
          <w:sz w:val="24"/>
          <w:szCs w:val="24"/>
          <w:lang w:val="ka-GE"/>
        </w:rPr>
        <w:t xml:space="preserve">შეიძლება </w:t>
      </w:r>
      <w:r w:rsidR="00305EA9" w:rsidRPr="007D75DB">
        <w:rPr>
          <w:rFonts w:ascii="Sylfaen" w:hAnsi="Sylfaen"/>
          <w:sz w:val="24"/>
          <w:szCs w:val="24"/>
          <w:lang w:val="ka-GE"/>
        </w:rPr>
        <w:t>იქნას მიღებული:</w:t>
      </w:r>
    </w:p>
    <w:p w14:paraId="5B561ED5" w14:textId="75C84A4C" w:rsidR="00305EA9" w:rsidRPr="007D75DB" w:rsidRDefault="00305EA9" w:rsidP="00641F9E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7D75DB">
        <w:rPr>
          <w:rFonts w:ascii="Sylfaen" w:hAnsi="Sylfaen"/>
          <w:b/>
          <w:sz w:val="24"/>
          <w:szCs w:val="24"/>
          <w:lang w:val="ka-GE"/>
        </w:rPr>
        <w:t>სახელმწიფო ბიუჯეტის გაზრდა</w:t>
      </w:r>
      <w:r w:rsidR="00261FFD" w:rsidRPr="007D75D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61FFD" w:rsidRPr="007D75DB">
        <w:rPr>
          <w:rFonts w:ascii="Sylfaen" w:hAnsi="Sylfaen"/>
          <w:sz w:val="24"/>
          <w:szCs w:val="24"/>
          <w:lang w:val="ka-GE"/>
        </w:rPr>
        <w:t xml:space="preserve">ეკონომიკური </w:t>
      </w:r>
      <w:r w:rsidR="007D75DB" w:rsidRPr="007D75DB">
        <w:rPr>
          <w:rFonts w:ascii="Sylfaen" w:hAnsi="Sylfaen"/>
          <w:sz w:val="24"/>
          <w:szCs w:val="24"/>
          <w:lang w:val="ka-GE"/>
        </w:rPr>
        <w:t>ზრდის, გაუმჯობესებული საგადასახადო პოლიტიკის</w:t>
      </w:r>
      <w:r w:rsidR="00C83FCE">
        <w:rPr>
          <w:rFonts w:ascii="Sylfaen" w:hAnsi="Sylfaen"/>
          <w:sz w:val="24"/>
          <w:szCs w:val="24"/>
          <w:lang w:val="ka-GE"/>
        </w:rPr>
        <w:t>,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 ან ახალი გადასახადების </w:t>
      </w:r>
      <w:r w:rsidR="00C83FCE">
        <w:rPr>
          <w:rFonts w:ascii="Sylfaen" w:hAnsi="Sylfaen"/>
          <w:sz w:val="24"/>
          <w:szCs w:val="24"/>
          <w:lang w:val="ka-GE"/>
        </w:rPr>
        <w:t xml:space="preserve">შემოღების 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გზით, </w:t>
      </w:r>
      <w:r w:rsidR="00C83FCE">
        <w:rPr>
          <w:rFonts w:ascii="Sylfaen" w:hAnsi="Sylfaen"/>
          <w:sz w:val="24"/>
          <w:szCs w:val="24"/>
          <w:lang w:val="ka-GE"/>
        </w:rPr>
        <w:t>რაც გამოიწვევს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სახელმწიფო შემოსავლების </w:t>
      </w:r>
      <w:r w:rsidR="00C83FCE" w:rsidRPr="007D75DB">
        <w:rPr>
          <w:rFonts w:ascii="Sylfaen" w:hAnsi="Sylfaen"/>
          <w:sz w:val="24"/>
          <w:szCs w:val="24"/>
          <w:lang w:val="ka-GE"/>
        </w:rPr>
        <w:t>ზრდას</w:t>
      </w:r>
      <w:r w:rsidR="00C83FCE">
        <w:rPr>
          <w:rFonts w:ascii="Sylfaen" w:hAnsi="Sylfaen"/>
          <w:sz w:val="24"/>
          <w:szCs w:val="24"/>
          <w:lang w:val="ka-GE"/>
        </w:rPr>
        <w:t xml:space="preserve"> და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C83FCE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 ჯანდაცვაზე სახელმწიფო </w:t>
      </w:r>
      <w:r w:rsidR="00C83FCE">
        <w:rPr>
          <w:rFonts w:ascii="Sylfaen" w:hAnsi="Sylfaen"/>
          <w:sz w:val="24"/>
          <w:szCs w:val="24"/>
          <w:lang w:val="ka-GE"/>
        </w:rPr>
        <w:t>სახსრების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 </w:t>
      </w:r>
      <w:r w:rsidR="00C83FCE">
        <w:rPr>
          <w:rFonts w:ascii="Sylfaen" w:hAnsi="Sylfaen"/>
          <w:sz w:val="24"/>
          <w:szCs w:val="24"/>
          <w:lang w:val="ka-GE"/>
        </w:rPr>
        <w:t>გაზრდას</w:t>
      </w:r>
      <w:r w:rsidR="00C83FCE" w:rsidRPr="007D75DB">
        <w:rPr>
          <w:rFonts w:ascii="Sylfaen" w:hAnsi="Sylfaen"/>
          <w:sz w:val="24"/>
          <w:szCs w:val="24"/>
          <w:lang w:val="ka-GE"/>
        </w:rPr>
        <w:t xml:space="preserve">. </w:t>
      </w:r>
      <w:r w:rsidR="007D75DB" w:rsidRPr="007D75DB">
        <w:rPr>
          <w:rFonts w:ascii="Sylfaen" w:hAnsi="Sylfaen"/>
          <w:sz w:val="24"/>
          <w:szCs w:val="24"/>
          <w:lang w:val="ka-GE"/>
        </w:rPr>
        <w:t>ეს</w:t>
      </w:r>
      <w:r w:rsidR="00C83FCE">
        <w:rPr>
          <w:rFonts w:ascii="Sylfaen" w:hAnsi="Sylfaen"/>
          <w:sz w:val="24"/>
          <w:szCs w:val="24"/>
          <w:lang w:val="ka-GE"/>
        </w:rPr>
        <w:t>, თავის მხრივ,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 საგადასახადო პოლიტიკის საკითხია და </w:t>
      </w:r>
      <w:r w:rsidR="00C83FCE">
        <w:rPr>
          <w:rFonts w:ascii="Sylfaen" w:hAnsi="Sylfaen"/>
          <w:sz w:val="24"/>
          <w:szCs w:val="24"/>
          <w:lang w:val="ka-GE"/>
        </w:rPr>
        <w:t xml:space="preserve">არ </w:t>
      </w:r>
      <w:r w:rsidR="006D1332">
        <w:rPr>
          <w:rFonts w:ascii="Sylfaen" w:hAnsi="Sylfaen"/>
          <w:sz w:val="24"/>
          <w:szCs w:val="24"/>
          <w:lang w:val="ka-GE"/>
        </w:rPr>
        <w:t>არის</w:t>
      </w:r>
      <w:r w:rsidR="00C83FCE">
        <w:rPr>
          <w:rFonts w:ascii="Sylfaen" w:hAnsi="Sylfaen"/>
          <w:sz w:val="24"/>
          <w:szCs w:val="24"/>
          <w:lang w:val="ka-GE"/>
        </w:rPr>
        <w:t xml:space="preserve"> განხილული</w:t>
      </w:r>
      <w:r w:rsidR="006D1332">
        <w:rPr>
          <w:rFonts w:ascii="Sylfaen" w:hAnsi="Sylfaen"/>
          <w:sz w:val="24"/>
          <w:szCs w:val="24"/>
          <w:lang w:val="ka-GE"/>
        </w:rPr>
        <w:t xml:space="preserve"> </w:t>
      </w:r>
      <w:r w:rsidR="00C83FCE">
        <w:rPr>
          <w:rFonts w:ascii="Sylfaen" w:hAnsi="Sylfaen"/>
          <w:sz w:val="24"/>
          <w:szCs w:val="24"/>
          <w:lang w:val="ka-GE"/>
        </w:rPr>
        <w:t>აღნიშნული</w:t>
      </w:r>
      <w:r w:rsidR="007D75DB" w:rsidRPr="007D75DB">
        <w:rPr>
          <w:rFonts w:ascii="Sylfaen" w:hAnsi="Sylfaen"/>
          <w:sz w:val="24"/>
          <w:szCs w:val="24"/>
          <w:lang w:val="ka-GE"/>
        </w:rPr>
        <w:t xml:space="preserve"> დოკუმენტის ფარგლებში.</w:t>
      </w:r>
    </w:p>
    <w:p w14:paraId="11E9B9C2" w14:textId="2783DF3F" w:rsidR="002634B5" w:rsidRPr="002634B5" w:rsidRDefault="007D75DB" w:rsidP="00641F9E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ეფექტიანობის </w:t>
      </w:r>
      <w:r w:rsidR="00C83FCE">
        <w:rPr>
          <w:rFonts w:ascii="Sylfaen" w:hAnsi="Sylfaen"/>
          <w:b/>
          <w:sz w:val="24"/>
          <w:szCs w:val="24"/>
          <w:lang w:val="ka-GE"/>
        </w:rPr>
        <w:t>გაზრდა</w:t>
      </w:r>
      <w:r w:rsidR="00C83FCE" w:rsidRPr="00C44021"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 xml:space="preserve">ჯანდაცვისთვის განკუთვნილი რესურსების უფრო </w:t>
      </w:r>
      <w:r w:rsidR="00C83FCE">
        <w:rPr>
          <w:rFonts w:ascii="Sylfaen" w:hAnsi="Sylfaen"/>
          <w:sz w:val="24"/>
          <w:szCs w:val="24"/>
          <w:lang w:val="ka-GE"/>
        </w:rPr>
        <w:t xml:space="preserve">ეფექტიანი </w:t>
      </w:r>
      <w:r>
        <w:rPr>
          <w:rFonts w:ascii="Sylfaen" w:hAnsi="Sylfaen"/>
          <w:sz w:val="24"/>
          <w:szCs w:val="24"/>
          <w:lang w:val="ka-GE"/>
        </w:rPr>
        <w:t>გამოყენება</w:t>
      </w:r>
      <w:r w:rsidR="00C83FCE">
        <w:rPr>
          <w:rFonts w:ascii="Sylfaen" w:hAnsi="Sylfaen"/>
          <w:sz w:val="24"/>
          <w:szCs w:val="24"/>
          <w:lang w:val="ka-GE"/>
        </w:rPr>
        <w:t>.</w:t>
      </w:r>
    </w:p>
    <w:p w14:paraId="4E87FBED" w14:textId="6381B570" w:rsidR="007D75DB" w:rsidRPr="00A46C4B" w:rsidRDefault="002634B5" w:rsidP="00641F9E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სახელმწიფო ბიუჯეტში ჯანდაცვის წილის გაზრდა</w:t>
      </w:r>
      <w:r w:rsidR="006C13C2">
        <w:rPr>
          <w:rFonts w:ascii="Sylfaen" w:hAnsi="Sylfaen"/>
          <w:b/>
          <w:sz w:val="24"/>
          <w:szCs w:val="24"/>
          <w:lang w:val="ka-GE"/>
        </w:rPr>
        <w:t>, რათა უზრუნველყოფილი იყოს</w:t>
      </w:r>
      <w:r w:rsidR="00A46C4B">
        <w:rPr>
          <w:rFonts w:ascii="Sylfaen" w:hAnsi="Sylfaen"/>
          <w:sz w:val="24"/>
          <w:szCs w:val="24"/>
          <w:lang w:val="ka-GE"/>
        </w:rPr>
        <w:t xml:space="preserve"> სახელ</w:t>
      </w:r>
      <w:r w:rsidR="00457111">
        <w:rPr>
          <w:rFonts w:ascii="Sylfaen" w:hAnsi="Sylfaen"/>
          <w:sz w:val="24"/>
          <w:szCs w:val="24"/>
          <w:lang w:val="ka-GE"/>
        </w:rPr>
        <w:t>მწი</w:t>
      </w:r>
      <w:r w:rsidR="00A46C4B">
        <w:rPr>
          <w:rFonts w:ascii="Sylfaen" w:hAnsi="Sylfaen"/>
          <w:sz w:val="24"/>
          <w:szCs w:val="24"/>
          <w:lang w:val="ka-GE"/>
        </w:rPr>
        <w:t xml:space="preserve">ფო ბიუჯეტის </w:t>
      </w:r>
      <w:r w:rsidR="00C44021" w:rsidRPr="00C44021">
        <w:rPr>
          <w:rFonts w:ascii="Sylfaen" w:hAnsi="Sylfaen"/>
          <w:sz w:val="24"/>
          <w:szCs w:val="24"/>
          <w:lang w:val="ka-GE"/>
        </w:rPr>
        <w:t>ასიგნებები</w:t>
      </w:r>
      <w:r w:rsidR="006C13C2">
        <w:rPr>
          <w:rFonts w:ascii="Sylfaen" w:hAnsi="Sylfaen"/>
          <w:sz w:val="24"/>
          <w:szCs w:val="24"/>
          <w:lang w:val="ka-GE"/>
        </w:rPr>
        <w:t>ს</w:t>
      </w:r>
      <w:r w:rsidR="00A46C4B">
        <w:rPr>
          <w:rFonts w:ascii="Sylfaen" w:hAnsi="Sylfaen"/>
          <w:sz w:val="24"/>
          <w:szCs w:val="24"/>
          <w:lang w:val="ka-GE"/>
        </w:rPr>
        <w:t xml:space="preserve"> </w:t>
      </w:r>
      <w:r w:rsidR="00A46C4B" w:rsidRPr="00A46C4B">
        <w:rPr>
          <w:rFonts w:ascii="Sylfaen" w:hAnsi="Sylfaen"/>
          <w:sz w:val="24"/>
          <w:szCs w:val="24"/>
          <w:lang w:val="ka-GE"/>
        </w:rPr>
        <w:t>მთავრობის პრიორიტეტებთ</w:t>
      </w:r>
      <w:r w:rsidR="00A46C4B">
        <w:rPr>
          <w:rFonts w:ascii="Sylfaen" w:hAnsi="Sylfaen"/>
          <w:sz w:val="24"/>
          <w:szCs w:val="24"/>
          <w:lang w:val="ka-GE"/>
        </w:rPr>
        <w:t>ა</w:t>
      </w:r>
      <w:r w:rsidR="00A46C4B" w:rsidRPr="00A46C4B">
        <w:rPr>
          <w:rFonts w:ascii="Sylfaen" w:hAnsi="Sylfaen"/>
          <w:sz w:val="24"/>
          <w:szCs w:val="24"/>
          <w:lang w:val="ka-GE"/>
        </w:rPr>
        <w:t>ნ</w:t>
      </w:r>
      <w:r w:rsidR="006C13C2">
        <w:rPr>
          <w:rFonts w:ascii="Sylfaen" w:hAnsi="Sylfaen"/>
          <w:sz w:val="24"/>
          <w:szCs w:val="24"/>
          <w:lang w:val="ka-GE"/>
        </w:rPr>
        <w:t xml:space="preserve"> თანხვედრა</w:t>
      </w:r>
      <w:r w:rsidR="00A46C4B">
        <w:rPr>
          <w:rFonts w:ascii="Sylfaen" w:hAnsi="Sylfaen"/>
          <w:sz w:val="24"/>
          <w:szCs w:val="24"/>
          <w:lang w:val="ka-GE"/>
        </w:rPr>
        <w:t>.</w:t>
      </w:r>
    </w:p>
    <w:p w14:paraId="51D892A1" w14:textId="11538CCC" w:rsidR="00A46C4B" w:rsidRDefault="001827CD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ყველა ძალისხმევა უნდა იქნეს მიმართული, რათა</w:t>
      </w:r>
      <w:r w:rsidR="00A46C4B">
        <w:rPr>
          <w:rFonts w:ascii="Sylfaen" w:hAnsi="Sylfaen"/>
          <w:b/>
          <w:sz w:val="24"/>
          <w:szCs w:val="24"/>
          <w:lang w:val="ka-GE"/>
        </w:rPr>
        <w:t xml:space="preserve"> ჯანდაცვის </w:t>
      </w:r>
      <w:r>
        <w:rPr>
          <w:rFonts w:ascii="Sylfaen" w:hAnsi="Sylfaen"/>
          <w:b/>
          <w:sz w:val="24"/>
          <w:szCs w:val="24"/>
          <w:lang w:val="ka-GE"/>
        </w:rPr>
        <w:t xml:space="preserve">სისტემის რესურსები </w:t>
      </w:r>
      <w:r w:rsidR="00A46C4B">
        <w:rPr>
          <w:rFonts w:ascii="Sylfaen" w:hAnsi="Sylfaen"/>
          <w:b/>
          <w:sz w:val="24"/>
          <w:szCs w:val="24"/>
          <w:lang w:val="ka-GE"/>
        </w:rPr>
        <w:t xml:space="preserve">უფრო ეფექტიანად </w:t>
      </w:r>
      <w:r>
        <w:rPr>
          <w:rFonts w:ascii="Sylfaen" w:hAnsi="Sylfaen"/>
          <w:b/>
          <w:sz w:val="24"/>
          <w:szCs w:val="24"/>
          <w:lang w:val="ka-GE"/>
        </w:rPr>
        <w:t xml:space="preserve">იყოს გამოყენებული. </w:t>
      </w:r>
      <w:r w:rsidR="00A46C4B">
        <w:rPr>
          <w:rFonts w:ascii="Sylfaen" w:hAnsi="Sylfaen"/>
          <w:b/>
          <w:sz w:val="24"/>
          <w:szCs w:val="24"/>
          <w:lang w:val="ka-GE"/>
        </w:rPr>
        <w:t xml:space="preserve">ეფექტიანობის </w:t>
      </w:r>
      <w:r w:rsidRPr="00C44021">
        <w:rPr>
          <w:rFonts w:ascii="Sylfaen" w:hAnsi="Sylfaen"/>
          <w:b/>
          <w:sz w:val="24"/>
          <w:szCs w:val="24"/>
          <w:lang w:val="ka-GE"/>
        </w:rPr>
        <w:t>მიღწე</w:t>
      </w:r>
      <w:r>
        <w:rPr>
          <w:rFonts w:ascii="Sylfaen" w:hAnsi="Sylfaen"/>
          <w:b/>
          <w:sz w:val="24"/>
          <w:szCs w:val="24"/>
          <w:lang w:val="ka-GE"/>
        </w:rPr>
        <w:t>ვა</w:t>
      </w:r>
      <w:r w:rsidR="004F5FF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D1332">
        <w:rPr>
          <w:rFonts w:ascii="Sylfaen" w:hAnsi="Sylfaen"/>
          <w:b/>
          <w:sz w:val="24"/>
          <w:szCs w:val="24"/>
          <w:lang w:val="ka-GE"/>
        </w:rPr>
        <w:t>კი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A46C4B">
        <w:rPr>
          <w:rFonts w:ascii="Sylfaen" w:hAnsi="Sylfaen"/>
          <w:b/>
          <w:sz w:val="24"/>
          <w:szCs w:val="24"/>
          <w:lang w:val="ka-GE"/>
        </w:rPr>
        <w:t xml:space="preserve">ხშირად </w:t>
      </w:r>
      <w:r>
        <w:rPr>
          <w:rFonts w:ascii="Sylfaen" w:hAnsi="Sylfaen"/>
          <w:b/>
          <w:sz w:val="24"/>
          <w:szCs w:val="24"/>
          <w:lang w:val="ka-GE"/>
        </w:rPr>
        <w:t xml:space="preserve">საჭიროებს </w:t>
      </w:r>
      <w:r w:rsidR="00A46C4B">
        <w:rPr>
          <w:rFonts w:ascii="Sylfaen" w:hAnsi="Sylfaen"/>
          <w:b/>
          <w:sz w:val="24"/>
          <w:szCs w:val="24"/>
          <w:lang w:val="ka-GE"/>
        </w:rPr>
        <w:t>დამატებით სახელმწიფო ინვესტირებას,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44021">
        <w:rPr>
          <w:rFonts w:ascii="Sylfaen" w:hAnsi="Sylfaen"/>
          <w:b/>
          <w:sz w:val="24"/>
          <w:szCs w:val="24"/>
          <w:lang w:val="ka-GE"/>
        </w:rPr>
        <w:t>სიმძლავრესა</w:t>
      </w:r>
      <w:r w:rsidR="00A46C4B" w:rsidRPr="00C4402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46C4B">
        <w:rPr>
          <w:rFonts w:ascii="Sylfaen" w:hAnsi="Sylfaen"/>
          <w:b/>
          <w:sz w:val="24"/>
          <w:szCs w:val="24"/>
          <w:lang w:val="ka-GE"/>
        </w:rPr>
        <w:t>და დროს</w:t>
      </w:r>
    </w:p>
    <w:p w14:paraId="7C7E1B07" w14:textId="1EB0898A" w:rsidR="00A46C4B" w:rsidRDefault="00A46C4B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მტკიც</w:t>
      </w:r>
      <w:r w:rsidR="00D13BC9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ბულებები აჩვენებს, რომ 2013 წლიდან ჯანდაცვის სისტემის ეფექტიანობა გაუმჯობესდა, რაც განსაკუთრებით თ</w:t>
      </w:r>
      <w:r w:rsidR="00443B1B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 xml:space="preserve">ალსაჩინოა </w:t>
      </w:r>
      <w:r w:rsidR="00457111">
        <w:rPr>
          <w:rFonts w:ascii="Sylfaen" w:hAnsi="Sylfaen"/>
          <w:sz w:val="24"/>
          <w:szCs w:val="24"/>
          <w:lang w:val="ka-GE"/>
        </w:rPr>
        <w:t>ჰოსპიტალური</w:t>
      </w:r>
      <w:r>
        <w:rPr>
          <w:rFonts w:ascii="Sylfaen" w:hAnsi="Sylfaen"/>
          <w:sz w:val="24"/>
          <w:szCs w:val="24"/>
          <w:lang w:val="ka-GE"/>
        </w:rPr>
        <w:t xml:space="preserve"> მომსახურების ერთეულის ფასის შემცირებაში (გრაფიკი 2). ეფექტიანობის შემდგომი </w:t>
      </w:r>
      <w:r w:rsidR="001827CD">
        <w:rPr>
          <w:rFonts w:ascii="Sylfaen" w:hAnsi="Sylfaen"/>
          <w:sz w:val="24"/>
          <w:szCs w:val="24"/>
          <w:lang w:val="ka-GE"/>
        </w:rPr>
        <w:t>გაუმჯობესება</w:t>
      </w:r>
      <w:r w:rsidR="001827CD" w:rsidRPr="00C4402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46C4B">
        <w:rPr>
          <w:rFonts w:ascii="Sylfaen" w:hAnsi="Sylfaen"/>
          <w:sz w:val="24"/>
          <w:szCs w:val="24"/>
          <w:lang w:val="ka-GE"/>
        </w:rPr>
        <w:t>შესაძლებელია</w:t>
      </w:r>
      <w:r>
        <w:rPr>
          <w:rFonts w:ascii="Sylfaen" w:hAnsi="Sylfaen"/>
          <w:sz w:val="24"/>
          <w:szCs w:val="24"/>
          <w:lang w:val="ka-GE"/>
        </w:rPr>
        <w:t xml:space="preserve">. თუმცა, საქართველო არ </w:t>
      </w:r>
      <w:r w:rsidR="001827CD">
        <w:rPr>
          <w:rFonts w:ascii="Sylfaen" w:hAnsi="Sylfaen"/>
          <w:sz w:val="24"/>
          <w:szCs w:val="24"/>
          <w:lang w:val="ka-GE"/>
        </w:rPr>
        <w:t>უნდა</w:t>
      </w:r>
      <w:r>
        <w:rPr>
          <w:rFonts w:ascii="Sylfaen" w:hAnsi="Sylfaen"/>
          <w:sz w:val="24"/>
          <w:szCs w:val="24"/>
          <w:lang w:val="ka-GE"/>
        </w:rPr>
        <w:t xml:space="preserve"> დაეყრდნოს </w:t>
      </w:r>
      <w:r w:rsidR="001827CD">
        <w:rPr>
          <w:rFonts w:ascii="Sylfaen" w:hAnsi="Sylfaen"/>
          <w:sz w:val="24"/>
          <w:szCs w:val="24"/>
          <w:lang w:val="ka-GE"/>
        </w:rPr>
        <w:t xml:space="preserve">ეფექტიანობის ამაღლებას, </w:t>
      </w:r>
      <w:r>
        <w:rPr>
          <w:rFonts w:ascii="Sylfaen" w:hAnsi="Sylfaen"/>
          <w:sz w:val="24"/>
          <w:szCs w:val="24"/>
          <w:lang w:val="ka-GE"/>
        </w:rPr>
        <w:t xml:space="preserve">როგორც </w:t>
      </w:r>
      <w:r w:rsidR="004D4274">
        <w:rPr>
          <w:rFonts w:ascii="Sylfaen" w:hAnsi="Sylfaen"/>
          <w:sz w:val="24"/>
          <w:szCs w:val="24"/>
          <w:lang w:val="ka-GE"/>
        </w:rPr>
        <w:t xml:space="preserve">ჯანდაცვის სისტემის </w:t>
      </w:r>
      <w:r>
        <w:rPr>
          <w:rFonts w:ascii="Sylfaen" w:hAnsi="Sylfaen"/>
          <w:sz w:val="24"/>
          <w:szCs w:val="24"/>
          <w:lang w:val="ka-GE"/>
        </w:rPr>
        <w:t>დამატებით</w:t>
      </w:r>
      <w:r w:rsidR="00CC3A7D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დაფინანსებ</w:t>
      </w:r>
      <w:r w:rsidR="004D4274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ს </w:t>
      </w:r>
      <w:r w:rsidR="004D4274">
        <w:rPr>
          <w:rFonts w:ascii="Sylfaen" w:hAnsi="Sylfaen"/>
          <w:sz w:val="24"/>
          <w:szCs w:val="24"/>
          <w:lang w:val="ka-GE"/>
        </w:rPr>
        <w:t>წყაროს, შემდგომი მიზეზების გამო:</w:t>
      </w:r>
    </w:p>
    <w:p w14:paraId="0CDFD501" w14:textId="52823E26" w:rsidR="00D15C3A" w:rsidRPr="00D15C3A" w:rsidRDefault="00CC3A7D" w:rsidP="00641F9E">
      <w:pPr>
        <w:pStyle w:val="ListParagraph"/>
        <w:numPr>
          <w:ilvl w:val="0"/>
          <w:numId w:val="9"/>
        </w:numPr>
        <w:spacing w:line="240" w:lineRule="auto"/>
        <w:ind w:left="714" w:hanging="357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605CDE">
        <w:rPr>
          <w:rFonts w:ascii="Sylfaen" w:hAnsi="Sylfaen" w:cs="Sylfaen"/>
          <w:b/>
          <w:sz w:val="24"/>
          <w:szCs w:val="24"/>
          <w:lang w:val="ka-GE"/>
        </w:rPr>
        <w:t>ჯა</w:t>
      </w:r>
      <w:r w:rsidRPr="00605CDE">
        <w:rPr>
          <w:rFonts w:ascii="Sylfaen" w:hAnsi="Sylfaen"/>
          <w:b/>
          <w:sz w:val="24"/>
          <w:szCs w:val="24"/>
          <w:lang w:val="ka-GE"/>
        </w:rPr>
        <w:t>ნდაცვაზე სახელმწიფო დანახარჯების არსებულ დონესა და ი</w:t>
      </w:r>
      <w:r w:rsidR="00D15C3A">
        <w:rPr>
          <w:rFonts w:ascii="Sylfaen" w:hAnsi="Sylfaen"/>
          <w:b/>
          <w:sz w:val="24"/>
          <w:szCs w:val="24"/>
          <w:lang w:val="ka-GE"/>
        </w:rPr>
        <w:t>მ</w:t>
      </w:r>
      <w:r w:rsidRPr="00605CDE">
        <w:rPr>
          <w:rFonts w:ascii="Sylfaen" w:hAnsi="Sylfaen"/>
          <w:b/>
          <w:sz w:val="24"/>
          <w:szCs w:val="24"/>
          <w:lang w:val="ka-GE"/>
        </w:rPr>
        <w:t xml:space="preserve"> დონე</w:t>
      </w:r>
      <w:r w:rsidR="00D15C3A">
        <w:rPr>
          <w:rFonts w:ascii="Sylfaen" w:hAnsi="Sylfaen"/>
          <w:b/>
          <w:sz w:val="24"/>
          <w:szCs w:val="24"/>
          <w:lang w:val="ka-GE"/>
        </w:rPr>
        <w:t xml:space="preserve">ს შორის </w:t>
      </w:r>
      <w:r w:rsidR="001827CD">
        <w:rPr>
          <w:rFonts w:ascii="Sylfaen" w:hAnsi="Sylfaen"/>
          <w:b/>
          <w:sz w:val="24"/>
          <w:szCs w:val="24"/>
          <w:lang w:val="ka-GE"/>
        </w:rPr>
        <w:t>განსხვავება</w:t>
      </w:r>
      <w:r w:rsidR="001827CD" w:rsidRPr="00605CD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605CDE">
        <w:rPr>
          <w:rFonts w:ascii="Sylfaen" w:hAnsi="Sylfaen"/>
          <w:b/>
          <w:sz w:val="24"/>
          <w:szCs w:val="24"/>
          <w:lang w:val="ka-GE"/>
        </w:rPr>
        <w:t xml:space="preserve">რომელიც საჭიროა </w:t>
      </w:r>
      <w:r w:rsidR="001827CD">
        <w:rPr>
          <w:rFonts w:ascii="Sylfaen" w:hAnsi="Sylfaen"/>
          <w:b/>
          <w:sz w:val="24"/>
          <w:szCs w:val="24"/>
          <w:lang w:val="ka-GE"/>
        </w:rPr>
        <w:t xml:space="preserve">ჯანდაცვის სისტემის ფუნქციონირების </w:t>
      </w:r>
      <w:r w:rsidR="00D15C3A">
        <w:rPr>
          <w:rFonts w:ascii="Sylfaen" w:hAnsi="Sylfaen"/>
          <w:b/>
          <w:sz w:val="24"/>
          <w:szCs w:val="24"/>
          <w:lang w:val="ka-GE"/>
        </w:rPr>
        <w:t>გასაუმჯობესებლად, ძალიან დიდია</w:t>
      </w:r>
      <w:r w:rsidR="00C44021">
        <w:rPr>
          <w:rFonts w:ascii="Sylfaen" w:hAnsi="Sylfaen"/>
          <w:b/>
          <w:sz w:val="24"/>
          <w:szCs w:val="24"/>
          <w:lang w:val="ka-GE"/>
        </w:rPr>
        <w:t xml:space="preserve"> იმისათვის, </w:t>
      </w:r>
      <w:r w:rsidR="004A383E">
        <w:rPr>
          <w:rFonts w:ascii="Sylfaen" w:hAnsi="Sylfaen"/>
          <w:b/>
          <w:sz w:val="24"/>
          <w:szCs w:val="24"/>
          <w:lang w:val="ka-GE"/>
        </w:rPr>
        <w:t xml:space="preserve">რომ </w:t>
      </w:r>
      <w:r w:rsidR="00D15C3A">
        <w:rPr>
          <w:rFonts w:ascii="Sylfaen" w:hAnsi="Sylfaen"/>
          <w:b/>
          <w:sz w:val="24"/>
          <w:szCs w:val="24"/>
          <w:lang w:val="ka-GE"/>
        </w:rPr>
        <w:t xml:space="preserve">მხოლოდ ეფექტიანობის </w:t>
      </w:r>
      <w:r w:rsidR="00C44021" w:rsidRPr="00C44021">
        <w:rPr>
          <w:rFonts w:ascii="Sylfaen" w:hAnsi="Sylfaen"/>
          <w:b/>
          <w:sz w:val="24"/>
          <w:szCs w:val="24"/>
          <w:lang w:val="ka-GE"/>
        </w:rPr>
        <w:t>მიღწევებით</w:t>
      </w:r>
      <w:r w:rsidR="00D15C3A" w:rsidRPr="00D15C3A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1827CD">
        <w:rPr>
          <w:rFonts w:ascii="Sylfaen" w:hAnsi="Sylfaen"/>
          <w:b/>
          <w:sz w:val="24"/>
          <w:szCs w:val="24"/>
          <w:lang w:val="ka-GE"/>
        </w:rPr>
        <w:t>შესაძლებელი იყოს</w:t>
      </w:r>
      <w:r w:rsidR="00D15C3A">
        <w:rPr>
          <w:rFonts w:ascii="Sylfaen" w:hAnsi="Sylfaen"/>
          <w:b/>
          <w:sz w:val="24"/>
          <w:szCs w:val="24"/>
          <w:lang w:val="ka-GE"/>
        </w:rPr>
        <w:t xml:space="preserve"> მისი შევსება. „</w:t>
      </w:r>
      <w:r w:rsidR="00D15C3A" w:rsidRPr="00D15C3A">
        <w:rPr>
          <w:rFonts w:ascii="Sylfaen" w:hAnsi="Sylfaen"/>
          <w:sz w:val="24"/>
          <w:szCs w:val="24"/>
          <w:lang w:val="ka-GE"/>
        </w:rPr>
        <w:t xml:space="preserve">დაბლა </w:t>
      </w:r>
      <w:r w:rsidR="00C44021">
        <w:rPr>
          <w:rFonts w:ascii="Sylfaen" w:hAnsi="Sylfaen"/>
          <w:sz w:val="24"/>
          <w:szCs w:val="24"/>
          <w:lang w:val="ka-GE"/>
        </w:rPr>
        <w:t>ტოტებზე არსებული</w:t>
      </w:r>
      <w:r w:rsidR="00D15C3A" w:rsidRPr="00D15C3A">
        <w:rPr>
          <w:rFonts w:ascii="Sylfaen" w:hAnsi="Sylfaen"/>
          <w:sz w:val="24"/>
          <w:szCs w:val="24"/>
          <w:lang w:val="ka-GE"/>
        </w:rPr>
        <w:t xml:space="preserve"> ხილის</w:t>
      </w:r>
      <w:r w:rsidR="00D15C3A">
        <w:rPr>
          <w:rFonts w:ascii="Sylfaen" w:hAnsi="Sylfaen"/>
          <w:sz w:val="24"/>
          <w:szCs w:val="24"/>
          <w:lang w:val="ka-GE"/>
        </w:rPr>
        <w:t>“</w:t>
      </w:r>
      <w:r w:rsidR="00D15C3A" w:rsidRPr="00D15C3A">
        <w:rPr>
          <w:rFonts w:ascii="Sylfaen" w:hAnsi="Sylfaen"/>
          <w:sz w:val="24"/>
          <w:szCs w:val="24"/>
          <w:lang w:val="ka-GE"/>
        </w:rPr>
        <w:t xml:space="preserve"> უმეტესობა</w:t>
      </w:r>
      <w:r w:rsidR="00D15C3A">
        <w:rPr>
          <w:rFonts w:ascii="Sylfaen" w:hAnsi="Sylfaen"/>
          <w:sz w:val="24"/>
          <w:szCs w:val="24"/>
          <w:lang w:val="ka-GE"/>
        </w:rPr>
        <w:t xml:space="preserve"> უკვე </w:t>
      </w:r>
      <w:r w:rsidR="001827CD">
        <w:rPr>
          <w:rFonts w:ascii="Sylfaen" w:hAnsi="Sylfaen"/>
          <w:sz w:val="24"/>
          <w:szCs w:val="24"/>
          <w:lang w:val="ka-GE"/>
        </w:rPr>
        <w:t>დ</w:t>
      </w:r>
      <w:r w:rsidR="00D15C3A">
        <w:rPr>
          <w:rFonts w:ascii="Sylfaen" w:hAnsi="Sylfaen"/>
          <w:sz w:val="24"/>
          <w:szCs w:val="24"/>
          <w:lang w:val="ka-GE"/>
        </w:rPr>
        <w:t xml:space="preserve">აკრეფილია, რაც </w:t>
      </w:r>
      <w:r w:rsidR="00FC297C">
        <w:rPr>
          <w:rFonts w:ascii="Sylfaen" w:hAnsi="Sylfaen"/>
          <w:sz w:val="24"/>
          <w:szCs w:val="24"/>
          <w:lang w:val="ka-GE"/>
        </w:rPr>
        <w:t xml:space="preserve">ახდენს </w:t>
      </w:r>
      <w:r w:rsidR="00D15C3A">
        <w:rPr>
          <w:rFonts w:ascii="Sylfaen" w:hAnsi="Sylfaen"/>
          <w:sz w:val="24"/>
          <w:szCs w:val="24"/>
          <w:lang w:val="ka-GE"/>
        </w:rPr>
        <w:t xml:space="preserve">მნიშვნელოვანი დანაზოგების </w:t>
      </w:r>
      <w:r w:rsidR="001827CD">
        <w:rPr>
          <w:rFonts w:ascii="Sylfaen" w:hAnsi="Sylfaen"/>
          <w:sz w:val="24"/>
          <w:szCs w:val="24"/>
          <w:lang w:val="ka-GE"/>
        </w:rPr>
        <w:t xml:space="preserve">პოტენციურ </w:t>
      </w:r>
      <w:r w:rsidR="00D15C3A">
        <w:rPr>
          <w:rFonts w:ascii="Sylfaen" w:hAnsi="Sylfaen"/>
          <w:sz w:val="24"/>
          <w:szCs w:val="24"/>
          <w:lang w:val="ka-GE"/>
        </w:rPr>
        <w:t>ლიმიტირებას.</w:t>
      </w:r>
    </w:p>
    <w:p w14:paraId="01FB4BC7" w14:textId="51C0A40A" w:rsidR="00CC3A7D" w:rsidRPr="00C44021" w:rsidRDefault="00D15C3A" w:rsidP="00641F9E">
      <w:pPr>
        <w:pStyle w:val="ListParagraph"/>
        <w:numPr>
          <w:ilvl w:val="0"/>
          <w:numId w:val="9"/>
        </w:numPr>
        <w:spacing w:line="240" w:lineRule="auto"/>
        <w:ind w:left="714" w:hanging="357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5C58BE">
        <w:rPr>
          <w:rFonts w:ascii="Sylfaen" w:hAnsi="Sylfaen"/>
          <w:b/>
          <w:sz w:val="24"/>
          <w:szCs w:val="24"/>
          <w:lang w:val="ka-GE"/>
        </w:rPr>
        <w:t>ქვეყნებს ხშირად ესაჭიროებათ მეტი ინვესტირება ჯანდაცვის სექტორში</w:t>
      </w:r>
      <w:r w:rsidR="00FC297C">
        <w:rPr>
          <w:rFonts w:ascii="Sylfaen" w:hAnsi="Sylfaen"/>
          <w:b/>
          <w:sz w:val="24"/>
          <w:szCs w:val="24"/>
          <w:lang w:val="ka-GE"/>
        </w:rPr>
        <w:t xml:space="preserve"> ეფექტიანობის ასამაღლებლად </w:t>
      </w:r>
      <w:r w:rsidR="0045711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C58BE">
        <w:rPr>
          <w:rFonts w:ascii="Sylfaen" w:hAnsi="Sylfaen"/>
          <w:b/>
          <w:sz w:val="24"/>
          <w:szCs w:val="24"/>
          <w:lang w:val="ka-GE"/>
        </w:rPr>
        <w:t xml:space="preserve">და საქართველო არ არის გამონაკლისი. </w:t>
      </w:r>
      <w:r w:rsidR="005C58BE" w:rsidRPr="005C58BE">
        <w:rPr>
          <w:rFonts w:ascii="Sylfaen" w:hAnsi="Sylfaen"/>
          <w:sz w:val="24"/>
          <w:szCs w:val="24"/>
          <w:lang w:val="ka-GE"/>
        </w:rPr>
        <w:t xml:space="preserve"> </w:t>
      </w:r>
      <w:r w:rsidR="005C58BE">
        <w:rPr>
          <w:rFonts w:ascii="Sylfaen" w:hAnsi="Sylfaen"/>
          <w:sz w:val="24"/>
          <w:szCs w:val="24"/>
          <w:lang w:val="ka-GE"/>
        </w:rPr>
        <w:t xml:space="preserve">ეფექტიანობის </w:t>
      </w:r>
      <w:r w:rsidR="00FC297C">
        <w:rPr>
          <w:rFonts w:ascii="Sylfaen" w:hAnsi="Sylfaen"/>
          <w:sz w:val="24"/>
          <w:szCs w:val="24"/>
          <w:lang w:val="ka-GE"/>
        </w:rPr>
        <w:t>ზრდამ</w:t>
      </w:r>
      <w:r w:rsidR="00FC297C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FC297C">
        <w:rPr>
          <w:rFonts w:ascii="Sylfaen" w:hAnsi="Sylfaen"/>
          <w:sz w:val="24"/>
          <w:szCs w:val="24"/>
          <w:lang w:val="ka-GE"/>
        </w:rPr>
        <w:t xml:space="preserve">შესაძლოა  გამოიწვიოს </w:t>
      </w:r>
      <w:r w:rsidR="005C58BE">
        <w:rPr>
          <w:rFonts w:ascii="Sylfaen" w:hAnsi="Sylfaen"/>
          <w:sz w:val="24"/>
          <w:szCs w:val="24"/>
          <w:lang w:val="ka-GE"/>
        </w:rPr>
        <w:t xml:space="preserve"> </w:t>
      </w:r>
      <w:r w:rsidR="00C44021">
        <w:rPr>
          <w:rFonts w:ascii="Sylfaen" w:hAnsi="Sylfaen"/>
          <w:sz w:val="24"/>
          <w:szCs w:val="24"/>
          <w:lang w:val="ka-GE"/>
        </w:rPr>
        <w:t>მ</w:t>
      </w:r>
      <w:r w:rsidR="005C58BE">
        <w:rPr>
          <w:rFonts w:ascii="Sylfaen" w:hAnsi="Sylfaen"/>
          <w:sz w:val="24"/>
          <w:szCs w:val="24"/>
          <w:lang w:val="ka-GE"/>
        </w:rPr>
        <w:t>თავრობისთვის მოკლევადიან</w:t>
      </w:r>
      <w:r w:rsidR="00FC297C">
        <w:rPr>
          <w:rFonts w:ascii="Sylfaen" w:hAnsi="Sylfaen"/>
          <w:sz w:val="24"/>
          <w:szCs w:val="24"/>
          <w:lang w:val="ka-GE"/>
        </w:rPr>
        <w:t>ი</w:t>
      </w:r>
      <w:r w:rsidR="005C58BE">
        <w:rPr>
          <w:rFonts w:ascii="Sylfaen" w:hAnsi="Sylfaen"/>
          <w:sz w:val="24"/>
          <w:szCs w:val="24"/>
          <w:lang w:val="ka-GE"/>
        </w:rPr>
        <w:t xml:space="preserve"> </w:t>
      </w:r>
      <w:r w:rsidR="00FC297C">
        <w:rPr>
          <w:rFonts w:ascii="Sylfaen" w:hAnsi="Sylfaen"/>
          <w:sz w:val="24"/>
          <w:szCs w:val="24"/>
          <w:lang w:val="ka-GE"/>
        </w:rPr>
        <w:t xml:space="preserve">დანაზოგები </w:t>
      </w:r>
      <w:r w:rsidR="005C58BE">
        <w:rPr>
          <w:rFonts w:ascii="Sylfaen" w:hAnsi="Sylfaen"/>
          <w:sz w:val="24"/>
          <w:szCs w:val="24"/>
          <w:lang w:val="ka-GE"/>
        </w:rPr>
        <w:t xml:space="preserve">და გაზარდოს შინამეურნეობების </w:t>
      </w:r>
      <w:r w:rsidR="005C58BE" w:rsidRPr="00C44021">
        <w:rPr>
          <w:rFonts w:ascii="Sylfaen" w:hAnsi="Sylfaen"/>
          <w:sz w:val="24"/>
          <w:szCs w:val="24"/>
          <w:lang w:val="ka-GE"/>
        </w:rPr>
        <w:t>ხელმისაწვდომობა</w:t>
      </w:r>
      <w:r w:rsidR="006821A7" w:rsidRPr="006821A7">
        <w:rPr>
          <w:rFonts w:ascii="Sylfaen" w:hAnsi="Sylfaen"/>
          <w:sz w:val="24"/>
          <w:szCs w:val="24"/>
          <w:lang w:val="ka-GE"/>
        </w:rPr>
        <w:t xml:space="preserve"> - მაგალითად, </w:t>
      </w:r>
      <w:r w:rsidR="00FC297C">
        <w:rPr>
          <w:rFonts w:ascii="Sylfaen" w:hAnsi="Sylfaen"/>
          <w:sz w:val="24"/>
          <w:szCs w:val="24"/>
          <w:lang w:val="ka-GE"/>
        </w:rPr>
        <w:t>ჯენერიკულ</w:t>
      </w:r>
      <w:r w:rsidR="00FC297C" w:rsidRPr="006821A7">
        <w:rPr>
          <w:rFonts w:ascii="Sylfaen" w:hAnsi="Sylfaen"/>
          <w:sz w:val="24"/>
          <w:szCs w:val="24"/>
          <w:lang w:val="ka-GE"/>
        </w:rPr>
        <w:t xml:space="preserve"> </w:t>
      </w:r>
      <w:r w:rsidR="006821A7" w:rsidRPr="006821A7">
        <w:rPr>
          <w:rFonts w:ascii="Sylfaen" w:hAnsi="Sylfaen"/>
          <w:sz w:val="24"/>
          <w:szCs w:val="24"/>
          <w:lang w:val="ka-GE"/>
        </w:rPr>
        <w:t>მედიკამენტებზე გადასვლა და მედიკამენტების ფასის შემცირება.</w:t>
      </w:r>
      <w:r w:rsidR="006821A7">
        <w:rPr>
          <w:rFonts w:ascii="Sylfaen" w:hAnsi="Sylfaen"/>
          <w:sz w:val="24"/>
          <w:szCs w:val="24"/>
          <w:lang w:val="ka-GE"/>
        </w:rPr>
        <w:t xml:space="preserve"> თუმცა, ეფექტიანობის </w:t>
      </w:r>
      <w:r w:rsidR="00FC297C">
        <w:rPr>
          <w:rFonts w:ascii="Sylfaen" w:hAnsi="Sylfaen"/>
          <w:sz w:val="24"/>
          <w:szCs w:val="24"/>
          <w:lang w:val="ka-GE"/>
        </w:rPr>
        <w:t xml:space="preserve">გაუმჯობესება მოითხოვს </w:t>
      </w:r>
      <w:r w:rsidR="00A05E88">
        <w:rPr>
          <w:rFonts w:ascii="Sylfaen" w:hAnsi="Sylfaen"/>
          <w:sz w:val="24"/>
          <w:szCs w:val="24"/>
          <w:lang w:val="ka-GE"/>
        </w:rPr>
        <w:t>დამატებით</w:t>
      </w:r>
      <w:r w:rsidR="00FC297C">
        <w:rPr>
          <w:rFonts w:ascii="Sylfaen" w:hAnsi="Sylfaen"/>
          <w:sz w:val="24"/>
          <w:szCs w:val="24"/>
          <w:lang w:val="ka-GE"/>
        </w:rPr>
        <w:t>ი</w:t>
      </w:r>
      <w:r w:rsidR="00A05E88">
        <w:rPr>
          <w:rFonts w:ascii="Sylfaen" w:hAnsi="Sylfaen"/>
          <w:sz w:val="24"/>
          <w:szCs w:val="24"/>
          <w:lang w:val="ka-GE"/>
        </w:rPr>
        <w:t xml:space="preserve"> </w:t>
      </w:r>
      <w:r w:rsidR="00A05E88">
        <w:rPr>
          <w:rFonts w:ascii="Sylfaen" w:hAnsi="Sylfaen"/>
          <w:sz w:val="24"/>
          <w:szCs w:val="24"/>
          <w:lang w:val="ka-GE"/>
        </w:rPr>
        <w:lastRenderedPageBreak/>
        <w:t xml:space="preserve">ინვესტირებას  - პირველადი ჯანდაცვის </w:t>
      </w:r>
      <w:r w:rsidR="00FC297C">
        <w:rPr>
          <w:rFonts w:ascii="Sylfaen" w:hAnsi="Sylfaen"/>
          <w:sz w:val="24"/>
          <w:szCs w:val="24"/>
          <w:lang w:val="ka-GE"/>
        </w:rPr>
        <w:t xml:space="preserve">გაძლიერებისთვის, </w:t>
      </w:r>
      <w:r w:rsidR="00A05E88">
        <w:rPr>
          <w:rFonts w:ascii="Sylfaen" w:hAnsi="Sylfaen"/>
          <w:sz w:val="24"/>
          <w:szCs w:val="24"/>
          <w:lang w:val="ka-GE"/>
        </w:rPr>
        <w:t xml:space="preserve">პრიორიტეტების განსაზღვრის მექანიზმების </w:t>
      </w:r>
      <w:r w:rsidR="00FC297C">
        <w:rPr>
          <w:rFonts w:ascii="Sylfaen" w:hAnsi="Sylfaen"/>
          <w:sz w:val="24"/>
          <w:szCs w:val="24"/>
          <w:lang w:val="ka-GE"/>
        </w:rPr>
        <w:t xml:space="preserve">დანერგვისთვის, </w:t>
      </w:r>
      <w:r w:rsidR="00A05E88">
        <w:rPr>
          <w:rFonts w:ascii="Sylfaen" w:hAnsi="Sylfaen"/>
          <w:sz w:val="24"/>
          <w:szCs w:val="24"/>
          <w:lang w:val="ka-GE"/>
        </w:rPr>
        <w:t xml:space="preserve">მომსახურების ხარისხის </w:t>
      </w:r>
      <w:r w:rsidR="00FC297C">
        <w:rPr>
          <w:rFonts w:ascii="Sylfaen" w:hAnsi="Sylfaen"/>
          <w:sz w:val="24"/>
          <w:szCs w:val="24"/>
          <w:lang w:val="ka-GE"/>
        </w:rPr>
        <w:t xml:space="preserve">გაუმჯობესებისთვის, </w:t>
      </w:r>
      <w:r w:rsidR="00A05E88">
        <w:rPr>
          <w:rFonts w:ascii="Sylfaen" w:hAnsi="Sylfaen"/>
          <w:sz w:val="24"/>
          <w:szCs w:val="24"/>
          <w:lang w:val="ka-GE"/>
        </w:rPr>
        <w:t>სერვისები</w:t>
      </w:r>
      <w:r w:rsidR="00FC297C">
        <w:rPr>
          <w:rFonts w:ascii="Sylfaen" w:hAnsi="Sylfaen"/>
          <w:sz w:val="24"/>
          <w:szCs w:val="24"/>
          <w:lang w:val="ka-GE"/>
        </w:rPr>
        <w:t>სა</w:t>
      </w:r>
      <w:r w:rsidR="00A05E88">
        <w:rPr>
          <w:rFonts w:ascii="Sylfaen" w:hAnsi="Sylfaen"/>
          <w:sz w:val="24"/>
          <w:szCs w:val="24"/>
          <w:lang w:val="ka-GE"/>
        </w:rPr>
        <w:t xml:space="preserve"> და მედიკამენტები</w:t>
      </w:r>
      <w:r w:rsidR="00FC297C">
        <w:rPr>
          <w:rFonts w:ascii="Sylfaen" w:hAnsi="Sylfaen"/>
          <w:sz w:val="24"/>
          <w:szCs w:val="24"/>
          <w:lang w:val="ka-GE"/>
        </w:rPr>
        <w:t>ს</w:t>
      </w:r>
      <w:r w:rsidR="00A05E88">
        <w:rPr>
          <w:rFonts w:ascii="Sylfaen" w:hAnsi="Sylfaen"/>
          <w:sz w:val="24"/>
          <w:szCs w:val="24"/>
          <w:lang w:val="ka-GE"/>
        </w:rPr>
        <w:t xml:space="preserve"> </w:t>
      </w:r>
      <w:r w:rsidR="00FC297C">
        <w:rPr>
          <w:rFonts w:ascii="Sylfaen" w:hAnsi="Sylfaen"/>
          <w:sz w:val="24"/>
          <w:szCs w:val="24"/>
          <w:lang w:val="ka-GE"/>
        </w:rPr>
        <w:t>მოწოდების ხარჯთეფექტიანი ფორმის  შერჩევისთვის</w:t>
      </w:r>
      <w:r w:rsidR="00A05E88" w:rsidRPr="00C44021">
        <w:rPr>
          <w:rFonts w:ascii="Sylfaen" w:hAnsi="Sylfaen"/>
          <w:sz w:val="24"/>
          <w:szCs w:val="24"/>
          <w:lang w:val="ka-GE"/>
        </w:rPr>
        <w:t xml:space="preserve"> დ.ა.შ.</w:t>
      </w:r>
    </w:p>
    <w:p w14:paraId="2096BE8D" w14:textId="048C1001" w:rsidR="00A05E88" w:rsidRPr="00C44021" w:rsidRDefault="00351394" w:rsidP="00641F9E">
      <w:pPr>
        <w:pStyle w:val="ListParagraph"/>
        <w:numPr>
          <w:ilvl w:val="0"/>
          <w:numId w:val="9"/>
        </w:numPr>
        <w:spacing w:line="240" w:lineRule="auto"/>
        <w:ind w:left="714" w:hanging="357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დაფინანსების </w:t>
      </w:r>
      <w:r w:rsidR="00A05E88">
        <w:rPr>
          <w:rFonts w:ascii="Sylfaen" w:hAnsi="Sylfaen"/>
          <w:b/>
          <w:sz w:val="24"/>
          <w:szCs w:val="24"/>
          <w:lang w:val="ka-GE"/>
        </w:rPr>
        <w:t>ქრონიკული ნაკლებობა არა</w:t>
      </w:r>
      <w:r w:rsidR="00360C30">
        <w:rPr>
          <w:rFonts w:ascii="Sylfaen" w:hAnsi="Sylfaen"/>
          <w:b/>
          <w:sz w:val="24"/>
          <w:szCs w:val="24"/>
          <w:lang w:val="ka-GE"/>
        </w:rPr>
        <w:t>ე</w:t>
      </w:r>
      <w:r w:rsidR="00A05E88">
        <w:rPr>
          <w:rFonts w:ascii="Sylfaen" w:hAnsi="Sylfaen"/>
          <w:b/>
          <w:sz w:val="24"/>
          <w:szCs w:val="24"/>
          <w:lang w:val="ka-GE"/>
        </w:rPr>
        <w:t>ფექტიანობის წყაროა:</w:t>
      </w:r>
      <w:r w:rsidR="00A05E88">
        <w:rPr>
          <w:rFonts w:ascii="Sylfaen" w:hAnsi="Sylfaen"/>
          <w:sz w:val="24"/>
          <w:szCs w:val="24"/>
          <w:lang w:val="ka-GE"/>
        </w:rPr>
        <w:t xml:space="preserve"> დაფინანს</w:t>
      </w:r>
      <w:r w:rsidR="00A05E88" w:rsidRPr="00C44021">
        <w:rPr>
          <w:rFonts w:ascii="Sylfaen" w:hAnsi="Sylfaen"/>
          <w:sz w:val="24"/>
          <w:szCs w:val="24"/>
          <w:lang w:val="ka-GE"/>
        </w:rPr>
        <w:t>ე</w:t>
      </w:r>
      <w:r w:rsidRPr="00C44021">
        <w:rPr>
          <w:rFonts w:ascii="Sylfaen" w:hAnsi="Sylfaen"/>
          <w:sz w:val="24"/>
          <w:szCs w:val="24"/>
          <w:lang w:val="ka-GE"/>
        </w:rPr>
        <w:t>ბ</w:t>
      </w:r>
      <w:r w:rsidR="00A05E88" w:rsidRPr="00C44021">
        <w:rPr>
          <w:rFonts w:ascii="Sylfaen" w:hAnsi="Sylfaen"/>
          <w:sz w:val="24"/>
          <w:szCs w:val="24"/>
          <w:lang w:val="ka-GE"/>
        </w:rPr>
        <w:t xml:space="preserve">ის ნაკლებობა ხშირად </w:t>
      </w:r>
      <w:r w:rsidR="00FC297C">
        <w:rPr>
          <w:rFonts w:ascii="Sylfaen" w:hAnsi="Sylfaen"/>
          <w:sz w:val="24"/>
          <w:szCs w:val="24"/>
          <w:lang w:val="ka-GE"/>
        </w:rPr>
        <w:t>იწვევს</w:t>
      </w:r>
      <w:r w:rsidR="00FC297C" w:rsidRPr="00C44021">
        <w:rPr>
          <w:rFonts w:ascii="Sylfaen" w:hAnsi="Sylfaen"/>
          <w:sz w:val="24"/>
          <w:szCs w:val="24"/>
          <w:lang w:val="ka-GE"/>
        </w:rPr>
        <w:t xml:space="preserve"> </w:t>
      </w:r>
      <w:r w:rsidR="00A05E88" w:rsidRPr="00C44021">
        <w:rPr>
          <w:rFonts w:ascii="Sylfaen" w:hAnsi="Sylfaen"/>
          <w:sz w:val="24"/>
          <w:szCs w:val="24"/>
          <w:lang w:val="ka-GE"/>
        </w:rPr>
        <w:t xml:space="preserve">მოხმარების სუბოპტიმალურ </w:t>
      </w:r>
      <w:r w:rsidR="00FC297C" w:rsidRPr="00C44021">
        <w:rPr>
          <w:rFonts w:ascii="Sylfaen" w:hAnsi="Sylfaen"/>
          <w:sz w:val="24"/>
          <w:szCs w:val="24"/>
          <w:lang w:val="ka-GE"/>
        </w:rPr>
        <w:t>შედეგებ</w:t>
      </w:r>
      <w:r w:rsidR="00FC297C">
        <w:rPr>
          <w:rFonts w:ascii="Sylfaen" w:hAnsi="Sylfaen"/>
          <w:sz w:val="24"/>
          <w:szCs w:val="24"/>
          <w:lang w:val="ka-GE"/>
        </w:rPr>
        <w:t>ს</w:t>
      </w:r>
      <w:r w:rsidR="00FC297C" w:rsidRPr="00C44021">
        <w:rPr>
          <w:rFonts w:ascii="Sylfaen" w:hAnsi="Sylfaen"/>
          <w:sz w:val="24"/>
          <w:szCs w:val="24"/>
          <w:lang w:val="ka-GE"/>
        </w:rPr>
        <w:t xml:space="preserve">. </w:t>
      </w:r>
      <w:r w:rsidR="00A05E88">
        <w:rPr>
          <w:rFonts w:ascii="Sylfaen" w:hAnsi="Sylfaen"/>
          <w:sz w:val="24"/>
          <w:szCs w:val="24"/>
          <w:lang w:val="ka-GE"/>
        </w:rPr>
        <w:t xml:space="preserve">მაგალითად, თუ ადამიანებს არ აქვთ კარგი წვდომა აუცილებელ </w:t>
      </w:r>
      <w:r w:rsidR="00FC297C">
        <w:rPr>
          <w:rFonts w:ascii="Sylfaen" w:hAnsi="Sylfaen"/>
          <w:sz w:val="24"/>
          <w:szCs w:val="24"/>
          <w:lang w:val="ka-GE"/>
        </w:rPr>
        <w:t>ამბულატორიულ მედიკამენტებზე</w:t>
      </w:r>
      <w:r w:rsidR="00A05E88">
        <w:rPr>
          <w:rFonts w:ascii="Sylfaen" w:hAnsi="Sylfaen"/>
          <w:sz w:val="24"/>
          <w:szCs w:val="24"/>
          <w:lang w:val="ka-GE"/>
        </w:rPr>
        <w:t xml:space="preserve">, მათ </w:t>
      </w:r>
      <w:r w:rsidR="00FC297C">
        <w:rPr>
          <w:rFonts w:ascii="Sylfaen" w:hAnsi="Sylfaen"/>
          <w:sz w:val="24"/>
          <w:szCs w:val="24"/>
          <w:lang w:val="ka-GE"/>
        </w:rPr>
        <w:t xml:space="preserve">შეიძლება დროულად არ მიმართონ სამედიცინო მომსახურების მიმწოდებლებს და მხოლოდ მაშინ ჩაიტარონ საჭირო მომსახურება,  </w:t>
      </w:r>
      <w:r w:rsidR="00A05E88">
        <w:rPr>
          <w:rFonts w:ascii="Sylfaen" w:hAnsi="Sylfaen"/>
          <w:sz w:val="24"/>
          <w:szCs w:val="24"/>
          <w:lang w:val="ka-GE"/>
        </w:rPr>
        <w:t xml:space="preserve"> როდესაც მათი ჯანმრთელობა </w:t>
      </w:r>
      <w:r w:rsidR="00F42F22">
        <w:rPr>
          <w:rFonts w:ascii="Sylfaen" w:hAnsi="Sylfaen"/>
          <w:sz w:val="24"/>
          <w:szCs w:val="24"/>
          <w:lang w:val="ka-GE"/>
        </w:rPr>
        <w:t>უკვე</w:t>
      </w:r>
      <w:r w:rsidR="00C44021">
        <w:rPr>
          <w:rFonts w:ascii="Sylfaen" w:hAnsi="Sylfaen"/>
          <w:sz w:val="24"/>
          <w:szCs w:val="24"/>
          <w:lang w:val="ka-GE"/>
        </w:rPr>
        <w:t xml:space="preserve"> საგრძნობლად </w:t>
      </w:r>
      <w:r w:rsidR="00F42F22">
        <w:rPr>
          <w:rFonts w:ascii="Sylfaen" w:hAnsi="Sylfaen"/>
          <w:sz w:val="24"/>
          <w:szCs w:val="24"/>
          <w:lang w:val="ka-GE"/>
        </w:rPr>
        <w:t xml:space="preserve"> </w:t>
      </w:r>
      <w:r w:rsidR="00FC297C">
        <w:rPr>
          <w:rFonts w:ascii="Sylfaen" w:hAnsi="Sylfaen"/>
          <w:sz w:val="24"/>
          <w:szCs w:val="24"/>
          <w:lang w:val="ka-GE"/>
        </w:rPr>
        <w:t>გაუარესდება</w:t>
      </w:r>
      <w:r w:rsidR="00FC297C" w:rsidRPr="00C44021">
        <w:rPr>
          <w:rFonts w:ascii="Sylfaen" w:hAnsi="Sylfaen"/>
          <w:sz w:val="24"/>
          <w:szCs w:val="24"/>
          <w:lang w:val="ka-GE"/>
        </w:rPr>
        <w:t xml:space="preserve">, </w:t>
      </w:r>
      <w:r w:rsidR="00F42F22" w:rsidRPr="00C44021">
        <w:rPr>
          <w:rFonts w:ascii="Sylfaen" w:hAnsi="Sylfaen"/>
          <w:sz w:val="24"/>
          <w:szCs w:val="24"/>
          <w:lang w:val="ka-GE"/>
        </w:rPr>
        <w:t xml:space="preserve">ან  </w:t>
      </w:r>
      <w:r w:rsidR="009F4E8B" w:rsidRPr="00C44021">
        <w:rPr>
          <w:rFonts w:ascii="Sylfaen" w:hAnsi="Sylfaen"/>
          <w:sz w:val="24"/>
          <w:szCs w:val="24"/>
          <w:lang w:val="ka-GE"/>
        </w:rPr>
        <w:t xml:space="preserve">სანაცვლოდ </w:t>
      </w:r>
      <w:r w:rsidR="00FC297C">
        <w:rPr>
          <w:rFonts w:ascii="Sylfaen" w:hAnsi="Sylfaen"/>
          <w:sz w:val="24"/>
          <w:szCs w:val="24"/>
          <w:lang w:val="ka-GE"/>
        </w:rPr>
        <w:t xml:space="preserve">შეიძლება გამოიყენონ </w:t>
      </w:r>
      <w:r w:rsidR="00F42F22" w:rsidRPr="00C44021">
        <w:rPr>
          <w:rFonts w:ascii="Sylfaen" w:hAnsi="Sylfaen"/>
          <w:sz w:val="24"/>
          <w:szCs w:val="24"/>
          <w:lang w:val="ka-GE"/>
        </w:rPr>
        <w:t xml:space="preserve">გადაუდებელი </w:t>
      </w:r>
      <w:r w:rsidR="00FC297C"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="00F42F22" w:rsidRPr="00C44021">
        <w:rPr>
          <w:rFonts w:ascii="Sylfaen" w:hAnsi="Sylfaen"/>
          <w:sz w:val="24"/>
          <w:szCs w:val="24"/>
          <w:lang w:val="ka-GE"/>
        </w:rPr>
        <w:t>სერვისები</w:t>
      </w:r>
      <w:r w:rsidR="007D087E">
        <w:rPr>
          <w:rFonts w:ascii="Sylfaen" w:hAnsi="Sylfaen"/>
          <w:sz w:val="24"/>
          <w:szCs w:val="24"/>
          <w:lang w:val="ka-GE"/>
        </w:rPr>
        <w:t xml:space="preserve">. </w:t>
      </w:r>
      <w:r w:rsidR="00FC297C">
        <w:rPr>
          <w:rFonts w:ascii="Sylfaen" w:hAnsi="Sylfaen"/>
          <w:sz w:val="24"/>
          <w:szCs w:val="24"/>
          <w:lang w:val="ka-GE"/>
        </w:rPr>
        <w:t xml:space="preserve">პაციენტების </w:t>
      </w:r>
      <w:r w:rsidR="007D087E">
        <w:rPr>
          <w:rFonts w:ascii="Sylfaen" w:hAnsi="Sylfaen"/>
          <w:sz w:val="24"/>
          <w:szCs w:val="24"/>
          <w:lang w:val="ka-GE"/>
        </w:rPr>
        <w:t>გადაუდებელი სერვისებით</w:t>
      </w:r>
      <w:r w:rsidR="00FC297C">
        <w:rPr>
          <w:rFonts w:ascii="Sylfaen" w:hAnsi="Sylfaen"/>
          <w:sz w:val="24"/>
          <w:szCs w:val="24"/>
          <w:lang w:val="ka-GE"/>
        </w:rPr>
        <w:t>,</w:t>
      </w:r>
      <w:r w:rsidR="007D087E">
        <w:rPr>
          <w:rFonts w:ascii="Sylfaen" w:hAnsi="Sylfaen"/>
          <w:sz w:val="24"/>
          <w:szCs w:val="24"/>
          <w:lang w:val="ka-GE"/>
        </w:rPr>
        <w:t xml:space="preserve"> და არა პირველადი </w:t>
      </w:r>
      <w:r w:rsidR="00FC297C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="007D087E">
        <w:rPr>
          <w:rFonts w:ascii="Sylfaen" w:hAnsi="Sylfaen"/>
          <w:sz w:val="24"/>
          <w:szCs w:val="24"/>
          <w:lang w:val="ka-GE"/>
        </w:rPr>
        <w:t>მომსახურე</w:t>
      </w:r>
      <w:r>
        <w:rPr>
          <w:rFonts w:ascii="Sylfaen" w:hAnsi="Sylfaen"/>
          <w:sz w:val="24"/>
          <w:szCs w:val="24"/>
          <w:lang w:val="ka-GE"/>
        </w:rPr>
        <w:t>ბ</w:t>
      </w:r>
      <w:r w:rsidR="007D087E">
        <w:rPr>
          <w:rFonts w:ascii="Sylfaen" w:hAnsi="Sylfaen"/>
          <w:sz w:val="24"/>
          <w:szCs w:val="24"/>
          <w:lang w:val="ka-GE"/>
        </w:rPr>
        <w:t xml:space="preserve">ით </w:t>
      </w:r>
      <w:r w:rsidR="00FC297C">
        <w:rPr>
          <w:rFonts w:ascii="Sylfaen" w:hAnsi="Sylfaen"/>
          <w:sz w:val="24"/>
          <w:szCs w:val="24"/>
          <w:lang w:val="ka-GE"/>
        </w:rPr>
        <w:t xml:space="preserve">და </w:t>
      </w:r>
      <w:r w:rsidR="007D087E">
        <w:rPr>
          <w:rFonts w:ascii="Sylfaen" w:hAnsi="Sylfaen"/>
          <w:sz w:val="24"/>
          <w:szCs w:val="24"/>
          <w:lang w:val="ka-GE"/>
        </w:rPr>
        <w:t xml:space="preserve">აუცილებელი ამბულატორიული მედიკამენტებით </w:t>
      </w:r>
      <w:r w:rsidR="00A05E88" w:rsidRPr="00F42F22">
        <w:rPr>
          <w:rFonts w:ascii="Sylfaen" w:hAnsi="Sylfaen"/>
          <w:sz w:val="24"/>
          <w:szCs w:val="24"/>
          <w:lang w:val="ka-GE"/>
        </w:rPr>
        <w:t xml:space="preserve"> </w:t>
      </w:r>
      <w:r w:rsidR="007D087E" w:rsidRPr="00C44021">
        <w:rPr>
          <w:rFonts w:ascii="Sylfaen" w:hAnsi="Sylfaen"/>
          <w:sz w:val="24"/>
          <w:szCs w:val="24"/>
          <w:lang w:val="ka-GE"/>
        </w:rPr>
        <w:t>უზრუნველყოფა</w:t>
      </w:r>
      <w:r w:rsidR="00FC297C">
        <w:rPr>
          <w:rFonts w:ascii="Sylfaen" w:hAnsi="Sylfaen"/>
          <w:sz w:val="24"/>
          <w:szCs w:val="24"/>
          <w:lang w:val="ka-GE"/>
        </w:rPr>
        <w:t>,</w:t>
      </w:r>
      <w:r w:rsidR="007D087E" w:rsidRPr="00C44021">
        <w:rPr>
          <w:rFonts w:ascii="Sylfaen" w:hAnsi="Sylfaen"/>
          <w:sz w:val="24"/>
          <w:szCs w:val="24"/>
          <w:lang w:val="ka-GE"/>
        </w:rPr>
        <w:t xml:space="preserve"> </w:t>
      </w:r>
      <w:r w:rsidR="00C44021" w:rsidRPr="00C44021">
        <w:rPr>
          <w:rFonts w:ascii="Sylfaen" w:hAnsi="Sylfaen"/>
          <w:sz w:val="24"/>
          <w:szCs w:val="24"/>
          <w:lang w:val="ka-GE"/>
        </w:rPr>
        <w:t>ცრუ</w:t>
      </w:r>
      <w:r w:rsidR="007D087E" w:rsidRPr="00C44021">
        <w:rPr>
          <w:rFonts w:ascii="Sylfaen" w:hAnsi="Sylfaen"/>
          <w:sz w:val="24"/>
          <w:szCs w:val="24"/>
          <w:lang w:val="ka-GE"/>
        </w:rPr>
        <w:t xml:space="preserve"> ეკონომიაა.</w:t>
      </w:r>
    </w:p>
    <w:p w14:paraId="699715C3" w14:textId="77777777" w:rsidR="004A383E" w:rsidRDefault="004A383E" w:rsidP="001E670A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382285E" w14:textId="6764DBBA" w:rsidR="001E670A" w:rsidRPr="001E670A" w:rsidRDefault="001E670A" w:rsidP="001E670A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საქართველოში </w:t>
      </w:r>
      <w:r w:rsidR="00FC297C">
        <w:rPr>
          <w:rFonts w:ascii="Sylfaen" w:hAnsi="Sylfaen"/>
          <w:b/>
          <w:sz w:val="24"/>
          <w:szCs w:val="24"/>
          <w:lang w:val="ka-GE"/>
        </w:rPr>
        <w:t xml:space="preserve">ჯანდაცვაზე სახელწმიფო დანახარჯების ხვედრითი წილი სახელმწიფო ბიუჯეტიდან საკმაოდ მცირეა </w:t>
      </w:r>
      <w:r>
        <w:rPr>
          <w:rFonts w:ascii="Sylfaen" w:hAnsi="Sylfaen"/>
          <w:b/>
          <w:sz w:val="24"/>
          <w:szCs w:val="24"/>
          <w:lang w:val="ka-GE"/>
        </w:rPr>
        <w:t xml:space="preserve">ევროპის რეგიონის ქვეყნებს შორის აზერბაიჯანის გარდა (გრაფიკი 8). ჯანდაცვისთვის პრიორიტეტის მინიჭება სახელმწიფო ბიუჯეტში სახსრების გამოყოფის თვალსაზრისით, პოლიტიკური არჩევანია.  </w:t>
      </w:r>
      <w:r w:rsidRPr="001E670A">
        <w:rPr>
          <w:rFonts w:ascii="Sylfaen" w:hAnsi="Sylfaen" w:cs="Sylfaen"/>
          <w:sz w:val="24"/>
          <w:szCs w:val="24"/>
          <w:lang w:val="ka-GE"/>
        </w:rPr>
        <w:t>ამ არჩევანის განხორციელებას შედეგად მოჰყვება საშუალო შემოსავლების ქვეყნებსა და საქართველოს ჯანდაცვის სისტემის სახელმწიფო დაფინანსებას შორის არსებული განსხვავების შემცირება და  ჯანდაცვის სისტემის ეფექტიანობის ასამაღლებლად მეტი რესურსების მობილიზება.</w:t>
      </w:r>
    </w:p>
    <w:p w14:paraId="008E7098" w14:textId="77777777" w:rsidR="001E670A" w:rsidRDefault="001E670A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42AD180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9B3F869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84DB6F9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8715EB4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04AD69E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21819DA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1A4B1B8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6428276" w14:textId="77777777" w:rsidR="004A383E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093BF8F" w14:textId="77777777" w:rsidR="004A383E" w:rsidRPr="001E670A" w:rsidRDefault="004A383E" w:rsidP="00641F9E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EEC72EB" w14:textId="3FEC24EF" w:rsidR="00351394" w:rsidRDefault="00351394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51394">
        <w:rPr>
          <w:rFonts w:ascii="Sylfaen" w:hAnsi="Sylfaen"/>
          <w:b/>
          <w:sz w:val="24"/>
          <w:szCs w:val="24"/>
          <w:lang w:val="ka-GE"/>
        </w:rPr>
        <w:t xml:space="preserve">გრაფიკი </w:t>
      </w:r>
      <w:r w:rsidR="001E670A">
        <w:rPr>
          <w:rFonts w:ascii="Sylfaen" w:hAnsi="Sylfaen"/>
          <w:b/>
          <w:sz w:val="24"/>
          <w:szCs w:val="24"/>
          <w:lang w:val="ka-GE"/>
        </w:rPr>
        <w:t>8</w:t>
      </w:r>
      <w:r w:rsidRPr="00351394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2D51FB" w:rsidRPr="00351394">
        <w:rPr>
          <w:rFonts w:ascii="Sylfaen" w:hAnsi="Sylfaen"/>
          <w:b/>
          <w:sz w:val="24"/>
          <w:szCs w:val="24"/>
          <w:lang w:val="ka-GE"/>
        </w:rPr>
        <w:t>ჯანდაცვ</w:t>
      </w:r>
      <w:r w:rsidR="002D51FB">
        <w:rPr>
          <w:rFonts w:ascii="Sylfaen" w:hAnsi="Sylfaen"/>
          <w:b/>
          <w:sz w:val="24"/>
          <w:szCs w:val="24"/>
          <w:lang w:val="ka-GE"/>
        </w:rPr>
        <w:t>ის დაფინანსების ხვედრითი</w:t>
      </w:r>
      <w:r w:rsidR="002D51FB" w:rsidRPr="0035139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51394">
        <w:rPr>
          <w:rFonts w:ascii="Sylfaen" w:hAnsi="Sylfaen"/>
          <w:b/>
          <w:sz w:val="24"/>
          <w:szCs w:val="24"/>
          <w:lang w:val="ka-GE"/>
        </w:rPr>
        <w:t xml:space="preserve">წილი  სახელმწიფო </w:t>
      </w:r>
      <w:r w:rsidR="002D51FB" w:rsidRPr="00351394">
        <w:rPr>
          <w:rFonts w:ascii="Sylfaen" w:hAnsi="Sylfaen"/>
          <w:b/>
          <w:sz w:val="24"/>
          <w:szCs w:val="24"/>
          <w:lang w:val="ka-GE"/>
        </w:rPr>
        <w:t>ბიუჯეტ</w:t>
      </w:r>
      <w:r w:rsidR="002D51FB">
        <w:rPr>
          <w:rFonts w:ascii="Sylfaen" w:hAnsi="Sylfaen"/>
          <w:b/>
          <w:sz w:val="24"/>
          <w:szCs w:val="24"/>
          <w:lang w:val="ka-GE"/>
        </w:rPr>
        <w:t xml:space="preserve">იდან საქართველოსა </w:t>
      </w:r>
      <w:r>
        <w:rPr>
          <w:rFonts w:ascii="Sylfaen" w:hAnsi="Sylfaen"/>
          <w:b/>
          <w:sz w:val="24"/>
          <w:szCs w:val="24"/>
          <w:lang w:val="ka-GE"/>
        </w:rPr>
        <w:t xml:space="preserve">და ევროპის რეგიონის სხვა საშუალო შემოსავლების ქვეყნებში, 2014 </w:t>
      </w:r>
    </w:p>
    <w:p w14:paraId="70015F56" w14:textId="77777777" w:rsidR="0096438E" w:rsidRDefault="0096438E" w:rsidP="0096438E">
      <w:r w:rsidRPr="00642D71">
        <w:rPr>
          <w:noProof/>
        </w:rPr>
        <w:drawing>
          <wp:inline distT="0" distB="0" distL="0" distR="0" wp14:anchorId="0E552324" wp14:editId="7331D04D">
            <wp:extent cx="5362575" cy="26289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B34865" w14:textId="6151BF56" w:rsidR="00351394" w:rsidRPr="00C432FB" w:rsidRDefault="00351394" w:rsidP="00641F9E">
      <w:pPr>
        <w:spacing w:line="240" w:lineRule="auto"/>
        <w:jc w:val="both"/>
        <w:rPr>
          <w:rFonts w:ascii="Sylfaen" w:hAnsi="Sylfaen"/>
          <w:sz w:val="20"/>
          <w:szCs w:val="20"/>
        </w:rPr>
      </w:pPr>
      <w:r w:rsidRPr="00C432FB">
        <w:rPr>
          <w:rFonts w:ascii="Sylfaen" w:hAnsi="Sylfaen"/>
          <w:sz w:val="20"/>
          <w:szCs w:val="20"/>
          <w:lang w:val="ka-GE"/>
        </w:rPr>
        <w:t xml:space="preserve">წყარო: </w:t>
      </w:r>
      <w:r w:rsidR="00AC0F1D">
        <w:rPr>
          <w:rFonts w:ascii="Sylfaen" w:hAnsi="Sylfaen"/>
          <w:sz w:val="20"/>
          <w:szCs w:val="20"/>
          <w:lang w:val="ka-GE"/>
        </w:rPr>
        <w:t>ჯანმრთელობის</w:t>
      </w:r>
      <w:r w:rsidRPr="00C432FB">
        <w:rPr>
          <w:rFonts w:ascii="Sylfaen" w:hAnsi="Sylfaen"/>
          <w:sz w:val="20"/>
          <w:szCs w:val="20"/>
          <w:lang w:val="ka-GE"/>
        </w:rPr>
        <w:t xml:space="preserve"> მსოფლიო ორგანიზაცია, </w:t>
      </w:r>
      <w:r w:rsidRPr="00C432FB">
        <w:rPr>
          <w:rFonts w:ascii="Sylfaen" w:hAnsi="Sylfaen"/>
          <w:sz w:val="20"/>
          <w:szCs w:val="20"/>
        </w:rPr>
        <w:t>HIC</w:t>
      </w:r>
      <w:r w:rsidRPr="00C432FB">
        <w:rPr>
          <w:rFonts w:ascii="Sylfaen" w:hAnsi="Sylfaen"/>
          <w:sz w:val="20"/>
          <w:szCs w:val="20"/>
          <w:lang w:val="ka-GE"/>
        </w:rPr>
        <w:t xml:space="preserve">=მაღალი შემოსავლის მქონე ქვეყანა; </w:t>
      </w:r>
      <w:r w:rsidRPr="00C432FB">
        <w:rPr>
          <w:rFonts w:ascii="Sylfaen" w:hAnsi="Sylfaen"/>
          <w:sz w:val="20"/>
          <w:szCs w:val="20"/>
        </w:rPr>
        <w:t>LMIC=</w:t>
      </w:r>
      <w:r w:rsidRPr="00C432FB">
        <w:rPr>
          <w:rFonts w:ascii="Sylfaen" w:hAnsi="Sylfaen"/>
          <w:sz w:val="20"/>
          <w:szCs w:val="20"/>
          <w:lang w:val="ka-GE"/>
        </w:rPr>
        <w:t xml:space="preserve">უფრო დაბალი საშუალო შემოსავლის მქონე ქვეყანა; </w:t>
      </w:r>
      <w:r w:rsidRPr="00C432FB">
        <w:rPr>
          <w:rFonts w:ascii="Sylfaen" w:hAnsi="Sylfaen"/>
          <w:sz w:val="20"/>
          <w:szCs w:val="20"/>
        </w:rPr>
        <w:t>UMIC=</w:t>
      </w:r>
      <w:r w:rsidRPr="00C432FB">
        <w:rPr>
          <w:rFonts w:ascii="Sylfaen" w:hAnsi="Sylfaen"/>
          <w:sz w:val="20"/>
          <w:szCs w:val="20"/>
          <w:lang w:val="ka-GE"/>
        </w:rPr>
        <w:t>უფრო მაღლი საშუალო შემოსავლის მქონე ქვეყანა.</w:t>
      </w:r>
    </w:p>
    <w:p w14:paraId="1BED4919" w14:textId="27A69493" w:rsidR="000A27F5" w:rsidRDefault="000A27F5" w:rsidP="00641F9E">
      <w:pPr>
        <w:spacing w:line="240" w:lineRule="auto"/>
        <w:jc w:val="both"/>
        <w:rPr>
          <w:rFonts w:ascii="Sylfaen" w:hAnsi="Sylfaen"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თუ სახელმწიფო ბიუჯეტი გაიზრდება, ეს ზრდა </w:t>
      </w:r>
      <w:r w:rsidR="001E670A">
        <w:rPr>
          <w:rFonts w:ascii="Sylfaen" w:hAnsi="Sylfaen"/>
          <w:b/>
          <w:sz w:val="24"/>
          <w:szCs w:val="24"/>
          <w:lang w:val="ka-GE"/>
        </w:rPr>
        <w:t xml:space="preserve">შეიძლება გამოყენებული იქნეს </w:t>
      </w:r>
      <w:r>
        <w:rPr>
          <w:rFonts w:ascii="Sylfaen" w:hAnsi="Sylfaen"/>
          <w:b/>
          <w:sz w:val="24"/>
          <w:szCs w:val="24"/>
          <w:lang w:val="ka-GE"/>
        </w:rPr>
        <w:t xml:space="preserve">ჯანდაცვის </w:t>
      </w:r>
      <w:r w:rsidR="001E670A">
        <w:rPr>
          <w:rFonts w:ascii="Sylfaen" w:hAnsi="Sylfaen"/>
          <w:b/>
          <w:sz w:val="24"/>
          <w:szCs w:val="24"/>
          <w:lang w:val="ka-GE"/>
        </w:rPr>
        <w:t xml:space="preserve">სისტემისთვის განკუთვნილი ასიგნებების წილის ზრდისთვის </w:t>
      </w:r>
      <w:r>
        <w:rPr>
          <w:rFonts w:ascii="Sylfaen" w:hAnsi="Sylfaen"/>
          <w:b/>
          <w:sz w:val="24"/>
          <w:szCs w:val="24"/>
          <w:lang w:val="ka-GE"/>
        </w:rPr>
        <w:t xml:space="preserve">თანხების სხვა </w:t>
      </w:r>
      <w:r w:rsidR="001E670A">
        <w:rPr>
          <w:rFonts w:ascii="Sylfaen" w:hAnsi="Sylfaen"/>
          <w:b/>
          <w:sz w:val="24"/>
          <w:szCs w:val="24"/>
          <w:lang w:val="ka-GE"/>
        </w:rPr>
        <w:t xml:space="preserve">სექტორებიდან </w:t>
      </w:r>
      <w:r w:rsidR="00C36F6A" w:rsidRPr="00C36F6A">
        <w:rPr>
          <w:rFonts w:ascii="Sylfaen" w:hAnsi="Sylfaen"/>
          <w:b/>
          <w:sz w:val="24"/>
          <w:szCs w:val="24"/>
          <w:lang w:val="ka-GE"/>
        </w:rPr>
        <w:t>გადმოტანის</w:t>
      </w:r>
      <w:r w:rsidRPr="00C36F6A">
        <w:rPr>
          <w:rFonts w:ascii="Sylfaen" w:hAnsi="Sylfaen"/>
          <w:b/>
          <w:sz w:val="24"/>
          <w:szCs w:val="24"/>
          <w:lang w:val="ka-GE"/>
        </w:rPr>
        <w:t xml:space="preserve"> გარეშე. </w:t>
      </w:r>
      <w:r w:rsidRPr="00C36F6A">
        <w:rPr>
          <w:rFonts w:ascii="Sylfaen" w:hAnsi="Sylfaen"/>
          <w:sz w:val="24"/>
          <w:szCs w:val="24"/>
          <w:lang w:val="ka-GE"/>
        </w:rPr>
        <w:t xml:space="preserve">თუმცა, თუ სახელმწიფო ბიუჯეტის ზრდა </w:t>
      </w:r>
      <w:r w:rsidR="001E670A">
        <w:rPr>
          <w:rFonts w:ascii="Sylfaen" w:hAnsi="Sylfaen"/>
          <w:sz w:val="24"/>
          <w:szCs w:val="24"/>
          <w:lang w:val="ka-GE"/>
        </w:rPr>
        <w:t>არ ხდება</w:t>
      </w:r>
      <w:r w:rsidRPr="00C36F6A">
        <w:rPr>
          <w:rFonts w:ascii="Sylfaen" w:hAnsi="Sylfaen"/>
          <w:sz w:val="24"/>
          <w:szCs w:val="24"/>
          <w:lang w:val="ka-GE"/>
        </w:rPr>
        <w:t>, ჯა</w:t>
      </w:r>
      <w:r w:rsidR="00443B1B">
        <w:rPr>
          <w:rFonts w:ascii="Sylfaen" w:hAnsi="Sylfaen"/>
          <w:sz w:val="24"/>
          <w:szCs w:val="24"/>
          <w:lang w:val="ka-GE"/>
        </w:rPr>
        <w:t>ნდ</w:t>
      </w:r>
      <w:r w:rsidRPr="00C36F6A">
        <w:rPr>
          <w:rFonts w:ascii="Sylfaen" w:hAnsi="Sylfaen"/>
          <w:sz w:val="24"/>
          <w:szCs w:val="24"/>
          <w:lang w:val="ka-GE"/>
        </w:rPr>
        <w:t xml:space="preserve">აცვის სისტემის წილის ზრდა ნიშნავს </w:t>
      </w:r>
      <w:r w:rsidR="001E670A" w:rsidRPr="00C36F6A">
        <w:rPr>
          <w:rFonts w:ascii="Sylfaen" w:hAnsi="Sylfaen"/>
          <w:sz w:val="24"/>
          <w:szCs w:val="24"/>
          <w:lang w:val="ka-GE"/>
        </w:rPr>
        <w:t xml:space="preserve"> </w:t>
      </w:r>
      <w:r w:rsidRPr="00C36F6A">
        <w:rPr>
          <w:rFonts w:ascii="Sylfaen" w:hAnsi="Sylfaen"/>
          <w:sz w:val="24"/>
          <w:szCs w:val="24"/>
          <w:lang w:val="ka-GE"/>
        </w:rPr>
        <w:t xml:space="preserve">სხვა წყაროებიდან თანხების </w:t>
      </w:r>
      <w:r w:rsidR="00C36F6A" w:rsidRPr="00C36F6A">
        <w:rPr>
          <w:rFonts w:ascii="Sylfaen" w:hAnsi="Sylfaen"/>
          <w:sz w:val="24"/>
          <w:szCs w:val="24"/>
          <w:lang w:val="ka-GE"/>
        </w:rPr>
        <w:t>გადმოტანას</w:t>
      </w:r>
      <w:r w:rsidRPr="00C36F6A">
        <w:rPr>
          <w:rFonts w:ascii="Sylfaen" w:hAnsi="Sylfaen"/>
          <w:sz w:val="24"/>
          <w:szCs w:val="24"/>
          <w:lang w:val="ka-GE"/>
        </w:rPr>
        <w:t>.</w:t>
      </w:r>
    </w:p>
    <w:p w14:paraId="791A080A" w14:textId="52689784" w:rsidR="000A27F5" w:rsidRPr="00641F9E" w:rsidRDefault="00BC1825" w:rsidP="00641F9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41F9E">
        <w:rPr>
          <w:rFonts w:ascii="Sylfaen" w:hAnsi="Sylfaen"/>
          <w:b/>
          <w:sz w:val="24"/>
          <w:szCs w:val="24"/>
          <w:lang w:val="ka-GE"/>
        </w:rPr>
        <w:t>ჯანდაცვ</w:t>
      </w:r>
      <w:r>
        <w:rPr>
          <w:rFonts w:ascii="Sylfaen" w:hAnsi="Sylfaen"/>
          <w:b/>
          <w:sz w:val="24"/>
          <w:szCs w:val="24"/>
          <w:lang w:val="ka-GE"/>
        </w:rPr>
        <w:t>აზე გამოყოფილი ფინანსების</w:t>
      </w:r>
      <w:r w:rsidRPr="00641F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A27F5" w:rsidRPr="00641F9E">
        <w:rPr>
          <w:rFonts w:ascii="Sylfaen" w:hAnsi="Sylfaen"/>
          <w:b/>
          <w:sz w:val="24"/>
          <w:szCs w:val="24"/>
          <w:lang w:val="ka-GE"/>
        </w:rPr>
        <w:t>წილის ზრდა სახე</w:t>
      </w:r>
      <w:r w:rsidR="00C36F6A">
        <w:rPr>
          <w:rFonts w:ascii="Sylfaen" w:hAnsi="Sylfaen"/>
          <w:b/>
          <w:sz w:val="24"/>
          <w:szCs w:val="24"/>
          <w:lang w:val="ka-GE"/>
        </w:rPr>
        <w:t>ლ</w:t>
      </w:r>
      <w:r w:rsidR="000A27F5" w:rsidRPr="00641F9E">
        <w:rPr>
          <w:rFonts w:ascii="Sylfaen" w:hAnsi="Sylfaen"/>
          <w:b/>
          <w:sz w:val="24"/>
          <w:szCs w:val="24"/>
          <w:lang w:val="ka-GE"/>
        </w:rPr>
        <w:t xml:space="preserve">მწიფო </w:t>
      </w:r>
      <w:r w:rsidRPr="00641F9E">
        <w:rPr>
          <w:rFonts w:ascii="Sylfaen" w:hAnsi="Sylfaen"/>
          <w:b/>
          <w:sz w:val="24"/>
          <w:szCs w:val="24"/>
          <w:lang w:val="ka-GE"/>
        </w:rPr>
        <w:t>ბიუჯეტ</w:t>
      </w:r>
      <w:r>
        <w:rPr>
          <w:rFonts w:ascii="Sylfaen" w:hAnsi="Sylfaen"/>
          <w:b/>
          <w:sz w:val="24"/>
          <w:szCs w:val="24"/>
          <w:lang w:val="ka-GE"/>
        </w:rPr>
        <w:t>იდან</w:t>
      </w:r>
      <w:r w:rsidRPr="00641F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A27F5" w:rsidRPr="00641F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5049C">
        <w:rPr>
          <w:rFonts w:ascii="Sylfaen" w:hAnsi="Sylfaen"/>
          <w:b/>
          <w:sz w:val="24"/>
          <w:szCs w:val="24"/>
          <w:lang w:val="ka-GE"/>
        </w:rPr>
        <w:t>მოახდენს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A27F5" w:rsidRPr="00641F9E">
        <w:rPr>
          <w:rFonts w:ascii="Sylfaen" w:hAnsi="Sylfaen"/>
          <w:b/>
          <w:sz w:val="24"/>
          <w:szCs w:val="24"/>
          <w:lang w:val="ka-GE"/>
        </w:rPr>
        <w:t xml:space="preserve">ჯანდაცვაზე დამატებით სახელმწიფო </w:t>
      </w:r>
      <w:r>
        <w:rPr>
          <w:rFonts w:ascii="Sylfaen" w:hAnsi="Sylfaen"/>
          <w:b/>
          <w:sz w:val="24"/>
          <w:szCs w:val="24"/>
          <w:lang w:val="ka-GE"/>
        </w:rPr>
        <w:t>ინვესტირებ</w:t>
      </w:r>
      <w:r w:rsidR="0035049C">
        <w:rPr>
          <w:rFonts w:ascii="Sylfaen" w:hAnsi="Sylfaen"/>
          <w:b/>
          <w:sz w:val="24"/>
          <w:szCs w:val="24"/>
          <w:lang w:val="ka-GE"/>
        </w:rPr>
        <w:t>ა</w:t>
      </w:r>
      <w:r w:rsidR="00BD66B5">
        <w:rPr>
          <w:rFonts w:ascii="Sylfaen" w:hAnsi="Sylfaen"/>
          <w:b/>
          <w:sz w:val="24"/>
          <w:szCs w:val="24"/>
          <w:lang w:val="ka-GE"/>
        </w:rPr>
        <w:t>ს</w:t>
      </w:r>
      <w:r w:rsidR="000A27F5" w:rsidRPr="00641F9E">
        <w:rPr>
          <w:rFonts w:ascii="Sylfaen" w:hAnsi="Sylfaen"/>
          <w:b/>
          <w:sz w:val="24"/>
          <w:szCs w:val="24"/>
          <w:lang w:val="ka-GE"/>
        </w:rPr>
        <w:t>:</w:t>
      </w:r>
    </w:p>
    <w:p w14:paraId="76B35E2B" w14:textId="78CEEAB0" w:rsidR="000A27F5" w:rsidRDefault="0035049C" w:rsidP="00641F9E">
      <w:pPr>
        <w:pStyle w:val="ListParagraph"/>
        <w:numPr>
          <w:ilvl w:val="0"/>
          <w:numId w:val="10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რაც </w:t>
      </w:r>
      <w:r w:rsidR="00641F9E">
        <w:rPr>
          <w:rFonts w:ascii="Sylfaen" w:hAnsi="Sylfaen"/>
          <w:sz w:val="24"/>
          <w:szCs w:val="24"/>
          <w:lang w:val="ka-GE"/>
        </w:rPr>
        <w:t xml:space="preserve">უზრუნველყოფს, </w:t>
      </w:r>
      <w:r w:rsidR="002B63D5">
        <w:rPr>
          <w:rFonts w:ascii="Sylfaen" w:hAnsi="Sylfaen"/>
          <w:sz w:val="24"/>
          <w:szCs w:val="24"/>
          <w:lang w:val="ka-GE"/>
        </w:rPr>
        <w:t xml:space="preserve">რომ </w:t>
      </w:r>
      <w:r>
        <w:rPr>
          <w:rFonts w:ascii="Sylfaen" w:hAnsi="Sylfaen"/>
          <w:sz w:val="24"/>
          <w:szCs w:val="24"/>
          <w:lang w:val="ka-GE"/>
        </w:rPr>
        <w:t xml:space="preserve">ჯანდაცვაზე </w:t>
      </w:r>
      <w:r w:rsidR="002B63D5">
        <w:rPr>
          <w:rFonts w:ascii="Sylfaen" w:hAnsi="Sylfaen"/>
          <w:sz w:val="24"/>
          <w:szCs w:val="24"/>
          <w:lang w:val="ka-GE"/>
        </w:rPr>
        <w:t xml:space="preserve">სახელმწიფო დანახარჯები უფრო კარგად </w:t>
      </w:r>
      <w:r>
        <w:rPr>
          <w:rFonts w:ascii="Sylfaen" w:hAnsi="Sylfaen"/>
          <w:sz w:val="24"/>
          <w:szCs w:val="24"/>
          <w:lang w:val="ka-GE"/>
        </w:rPr>
        <w:t>ესადაგებოდეს მთავრობის მიზანს</w:t>
      </w:r>
      <w:r w:rsidR="004A383E">
        <w:rPr>
          <w:rFonts w:ascii="Sylfaen" w:hAnsi="Sylfaen"/>
          <w:sz w:val="24"/>
          <w:szCs w:val="24"/>
          <w:lang w:val="ka-GE"/>
        </w:rPr>
        <w:t xml:space="preserve"> </w:t>
      </w:r>
      <w:r w:rsidR="002B63D5">
        <w:rPr>
          <w:rFonts w:ascii="Sylfaen" w:hAnsi="Sylfaen"/>
          <w:sz w:val="24"/>
          <w:szCs w:val="24"/>
          <w:lang w:val="ka-GE"/>
        </w:rPr>
        <w:t xml:space="preserve">საქართველოს მოსახლეობის </w:t>
      </w:r>
      <w:r>
        <w:rPr>
          <w:rFonts w:ascii="Sylfaen" w:hAnsi="Sylfaen"/>
          <w:sz w:val="24"/>
          <w:szCs w:val="24"/>
          <w:lang w:val="ka-GE"/>
        </w:rPr>
        <w:t xml:space="preserve">ჯანმრთელობისა </w:t>
      </w:r>
      <w:r w:rsidR="002B63D5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>კეთილდღეობის გაუმჯობესების მიმართულებით</w:t>
      </w:r>
      <w:r w:rsidR="004A383E">
        <w:rPr>
          <w:rFonts w:ascii="Sylfaen" w:hAnsi="Sylfaen"/>
          <w:sz w:val="24"/>
          <w:szCs w:val="24"/>
          <w:lang w:val="ka-GE"/>
        </w:rPr>
        <w:t>.</w:t>
      </w:r>
    </w:p>
    <w:p w14:paraId="5A307F3F" w14:textId="77F8E144" w:rsidR="00641F9E" w:rsidRPr="00C36F6A" w:rsidRDefault="00641F9E" w:rsidP="00641F9E">
      <w:pPr>
        <w:pStyle w:val="ListParagraph"/>
        <w:numPr>
          <w:ilvl w:val="0"/>
          <w:numId w:val="10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36F6A">
        <w:rPr>
          <w:rFonts w:ascii="Sylfaen" w:hAnsi="Sylfaen"/>
          <w:sz w:val="24"/>
          <w:szCs w:val="24"/>
          <w:lang w:val="ka-GE"/>
        </w:rPr>
        <w:t xml:space="preserve">ის შეიძლება გამოყენებულ იქნას ჯანდაცვის სისტემის </w:t>
      </w:r>
      <w:r w:rsidR="00C36F6A" w:rsidRPr="00C36F6A">
        <w:rPr>
          <w:rFonts w:ascii="Sylfaen" w:hAnsi="Sylfaen"/>
          <w:sz w:val="24"/>
          <w:szCs w:val="24"/>
          <w:lang w:val="ka-GE"/>
        </w:rPr>
        <w:t>ფუნქციონირების</w:t>
      </w:r>
      <w:r w:rsidRPr="00C36F6A">
        <w:rPr>
          <w:rFonts w:ascii="Sylfaen" w:hAnsi="Sylfaen"/>
          <w:sz w:val="24"/>
          <w:szCs w:val="24"/>
          <w:lang w:val="ka-GE"/>
        </w:rPr>
        <w:t xml:space="preserve"> ყველა ასპექტის გა</w:t>
      </w:r>
      <w:r w:rsidR="00C36F6A" w:rsidRPr="00C36F6A">
        <w:rPr>
          <w:rFonts w:ascii="Sylfaen" w:hAnsi="Sylfaen"/>
          <w:sz w:val="24"/>
          <w:szCs w:val="24"/>
          <w:lang w:val="ka-GE"/>
        </w:rPr>
        <w:t>სა</w:t>
      </w:r>
      <w:r w:rsidRPr="00C36F6A">
        <w:rPr>
          <w:rFonts w:ascii="Sylfaen" w:hAnsi="Sylfaen"/>
          <w:sz w:val="24"/>
          <w:szCs w:val="24"/>
          <w:lang w:val="ka-GE"/>
        </w:rPr>
        <w:t>უმჯობესებ</w:t>
      </w:r>
      <w:r w:rsidR="00C36F6A" w:rsidRPr="00C36F6A">
        <w:rPr>
          <w:rFonts w:ascii="Sylfaen" w:hAnsi="Sylfaen"/>
          <w:sz w:val="24"/>
          <w:szCs w:val="24"/>
          <w:lang w:val="ka-GE"/>
        </w:rPr>
        <w:t>ლად</w:t>
      </w:r>
      <w:r w:rsidRPr="00C36F6A">
        <w:rPr>
          <w:rFonts w:ascii="Sylfaen" w:hAnsi="Sylfaen"/>
          <w:sz w:val="24"/>
          <w:szCs w:val="24"/>
          <w:lang w:val="ka-GE"/>
        </w:rPr>
        <w:t xml:space="preserve">, განსაკუთრებით - ჯანდაცვაზე და ფინანსურ დაცულობაზე </w:t>
      </w:r>
      <w:r w:rsidR="0035049C">
        <w:rPr>
          <w:rFonts w:ascii="Sylfaen" w:hAnsi="Sylfaen"/>
          <w:sz w:val="24"/>
          <w:szCs w:val="24"/>
          <w:lang w:val="ka-GE"/>
        </w:rPr>
        <w:t>თანაბარი</w:t>
      </w:r>
      <w:r w:rsidR="0035049C" w:rsidRPr="00C36F6A">
        <w:rPr>
          <w:rFonts w:ascii="Sylfaen" w:hAnsi="Sylfaen"/>
          <w:sz w:val="24"/>
          <w:szCs w:val="24"/>
          <w:lang w:val="ka-GE"/>
        </w:rPr>
        <w:t xml:space="preserve"> </w:t>
      </w:r>
      <w:r w:rsidRPr="00C36F6A">
        <w:rPr>
          <w:rFonts w:ascii="Sylfaen" w:hAnsi="Sylfaen"/>
          <w:sz w:val="24"/>
          <w:szCs w:val="24"/>
          <w:lang w:val="ka-GE"/>
        </w:rPr>
        <w:t>ხელისაწვდომობ</w:t>
      </w:r>
      <w:r w:rsidR="00443B1B">
        <w:rPr>
          <w:rFonts w:ascii="Sylfaen" w:hAnsi="Sylfaen"/>
          <w:sz w:val="24"/>
          <w:szCs w:val="24"/>
          <w:lang w:val="ka-GE"/>
        </w:rPr>
        <w:t>ის</w:t>
      </w:r>
      <w:r w:rsidR="0035049C">
        <w:rPr>
          <w:rFonts w:ascii="Sylfaen" w:hAnsi="Sylfaen"/>
          <w:sz w:val="24"/>
          <w:szCs w:val="24"/>
          <w:lang w:val="ka-GE"/>
        </w:rPr>
        <w:t xml:space="preserve"> უზრუნველსაყოფად</w:t>
      </w:r>
      <w:r w:rsidR="00443B1B">
        <w:rPr>
          <w:rFonts w:ascii="Sylfaen" w:hAnsi="Sylfaen"/>
          <w:sz w:val="24"/>
          <w:szCs w:val="24"/>
          <w:lang w:val="ka-GE"/>
        </w:rPr>
        <w:t>.</w:t>
      </w:r>
    </w:p>
    <w:p w14:paraId="118E75D2" w14:textId="3F4F0F4E" w:rsidR="00005601" w:rsidRPr="00C432FB" w:rsidRDefault="0035049C" w:rsidP="00641F9E">
      <w:pPr>
        <w:pStyle w:val="ListParagraph"/>
        <w:numPr>
          <w:ilvl w:val="0"/>
          <w:numId w:val="10"/>
        </w:numPr>
        <w:spacing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ჯანდაცვის სისტემის ფუნქციონირების გაუმჯობესების </w:t>
      </w:r>
      <w:r w:rsidR="00641F9E" w:rsidRPr="00C36F6A">
        <w:rPr>
          <w:rFonts w:ascii="Sylfaen" w:hAnsi="Sylfaen"/>
          <w:sz w:val="24"/>
          <w:szCs w:val="24"/>
          <w:lang w:val="ka-GE"/>
        </w:rPr>
        <w:t>მრავალმხრივი მიდგომა მოიც</w:t>
      </w:r>
      <w:r w:rsidR="00D13BC9">
        <w:rPr>
          <w:rFonts w:ascii="Sylfaen" w:hAnsi="Sylfaen"/>
          <w:sz w:val="24"/>
          <w:szCs w:val="24"/>
          <w:lang w:val="ka-GE"/>
        </w:rPr>
        <w:t>ა</w:t>
      </w:r>
      <w:r w:rsidR="00641F9E" w:rsidRPr="00C36F6A">
        <w:rPr>
          <w:rFonts w:ascii="Sylfaen" w:hAnsi="Sylfaen"/>
          <w:sz w:val="24"/>
          <w:szCs w:val="24"/>
          <w:lang w:val="ka-GE"/>
        </w:rPr>
        <w:t xml:space="preserve">ვს </w:t>
      </w:r>
      <w:r w:rsidR="00641F9E" w:rsidRPr="00C432FB">
        <w:rPr>
          <w:rFonts w:ascii="Sylfaen" w:hAnsi="Sylfaen"/>
          <w:sz w:val="24"/>
          <w:szCs w:val="24"/>
          <w:lang w:val="ka-GE"/>
        </w:rPr>
        <w:t>ამბულატორიული მედიკამენტებით უკეთეს მოცვას</w:t>
      </w:r>
      <w:r w:rsidR="008E3257" w:rsidRPr="00C432FB">
        <w:rPr>
          <w:rFonts w:ascii="Sylfaen" w:hAnsi="Sylfaen"/>
          <w:sz w:val="24"/>
          <w:szCs w:val="24"/>
          <w:lang w:val="ka-GE"/>
        </w:rPr>
        <w:t xml:space="preserve">, ღარიბი და უფრო სნეული </w:t>
      </w:r>
      <w:r>
        <w:rPr>
          <w:rFonts w:ascii="Sylfaen" w:hAnsi="Sylfaen"/>
          <w:sz w:val="24"/>
          <w:szCs w:val="24"/>
          <w:lang w:val="ka-GE"/>
        </w:rPr>
        <w:t>მოსახლეობის</w:t>
      </w:r>
      <w:r w:rsidRPr="00C432FB">
        <w:rPr>
          <w:rFonts w:ascii="Sylfaen" w:hAnsi="Sylfaen"/>
          <w:sz w:val="24"/>
          <w:szCs w:val="24"/>
          <w:lang w:val="ka-GE"/>
        </w:rPr>
        <w:t xml:space="preserve"> </w:t>
      </w:r>
      <w:r w:rsidR="008E3257" w:rsidRPr="00C432FB">
        <w:rPr>
          <w:rFonts w:ascii="Sylfaen" w:hAnsi="Sylfaen"/>
          <w:sz w:val="24"/>
          <w:szCs w:val="24"/>
          <w:lang w:val="ka-GE"/>
        </w:rPr>
        <w:t>დაცვის პოლიტიკას და აქტიურ შესყიდვაზე ფოკუსირებას, რათა უზრუნველყოფილ იქნას რესურსების რაც შეიძლება ეფექტ</w:t>
      </w:r>
      <w:r w:rsidR="00CD2671">
        <w:rPr>
          <w:rFonts w:ascii="Sylfaen" w:hAnsi="Sylfaen"/>
          <w:sz w:val="24"/>
          <w:szCs w:val="24"/>
          <w:lang w:val="ka-GE"/>
        </w:rPr>
        <w:t>იანი</w:t>
      </w:r>
      <w:r w:rsidR="008E3257" w:rsidRPr="00C432FB">
        <w:rPr>
          <w:rFonts w:ascii="Sylfaen" w:hAnsi="Sylfaen"/>
          <w:sz w:val="24"/>
          <w:szCs w:val="24"/>
          <w:lang w:val="ka-GE"/>
        </w:rPr>
        <w:t xml:space="preserve"> გამოყენება.</w:t>
      </w:r>
    </w:p>
    <w:sectPr w:rsidR="00005601" w:rsidRPr="00C43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372E6" w14:textId="77777777" w:rsidR="000B50D5" w:rsidRDefault="000B50D5" w:rsidP="004E157F">
      <w:pPr>
        <w:spacing w:after="0" w:line="240" w:lineRule="auto"/>
      </w:pPr>
      <w:r>
        <w:separator/>
      </w:r>
    </w:p>
  </w:endnote>
  <w:endnote w:type="continuationSeparator" w:id="0">
    <w:p w14:paraId="5D885A74" w14:textId="77777777" w:rsidR="000B50D5" w:rsidRDefault="000B50D5" w:rsidP="004E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9010B" w14:textId="77777777" w:rsidR="000B50D5" w:rsidRDefault="000B50D5" w:rsidP="004E157F">
      <w:pPr>
        <w:spacing w:after="0" w:line="240" w:lineRule="auto"/>
      </w:pPr>
      <w:r>
        <w:separator/>
      </w:r>
    </w:p>
  </w:footnote>
  <w:footnote w:type="continuationSeparator" w:id="0">
    <w:p w14:paraId="3C9180AC" w14:textId="77777777" w:rsidR="000B50D5" w:rsidRDefault="000B50D5" w:rsidP="004E157F">
      <w:pPr>
        <w:spacing w:after="0" w:line="240" w:lineRule="auto"/>
      </w:pPr>
      <w:r>
        <w:continuationSeparator/>
      </w:r>
    </w:p>
  </w:footnote>
  <w:footnote w:id="1">
    <w:p w14:paraId="25EA657F" w14:textId="3367551C" w:rsidR="00AC0F1D" w:rsidRPr="004E157F" w:rsidRDefault="00AC0F1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ჯანდაცვაზე ჯიბიდან გადახდები წარმოადგენს ჯანდაცვის სისტემაში დასაქმებული სამედიცინო მომსახურების მიმწოდებლის მიერ განხორციელებული სერვისებისთვის ფორმალური და არაფორმალურ გადახდები პაციენტთა მიერ  , რომელის განხორციელდა </w:t>
      </w:r>
    </w:p>
  </w:footnote>
  <w:footnote w:id="2">
    <w:p w14:paraId="2C448005" w14:textId="2EB3322C" w:rsidR="00AC0F1D" w:rsidRPr="00797F9B" w:rsidRDefault="00AC0F1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ჯანდაცვის სერვისებით სარგებლობისა და დანახარჯების კვლევა (</w:t>
      </w:r>
      <w:r>
        <w:rPr>
          <w:rFonts w:ascii="Sylfaen" w:hAnsi="Sylfaen"/>
        </w:rPr>
        <w:t>HUES)</w:t>
      </w:r>
      <w:r>
        <w:rPr>
          <w:rFonts w:ascii="Sylfaen" w:hAnsi="Sylfaen"/>
          <w:lang w:val="ka-GE"/>
        </w:rPr>
        <w:t xml:space="preserve"> და შინამეურნეობების ბიუჯეტის კვლევა</w:t>
      </w:r>
      <w:r>
        <w:rPr>
          <w:rFonts w:ascii="Sylfaen" w:hAnsi="Sylfaen"/>
        </w:rPr>
        <w:t xml:space="preserve"> (HBS)</w:t>
      </w:r>
      <w:r>
        <w:rPr>
          <w:rFonts w:ascii="Sylfaen" w:hAnsi="Sylfaen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6B32"/>
    <w:multiLevelType w:val="hybridMultilevel"/>
    <w:tmpl w:val="40F2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1723"/>
    <w:multiLevelType w:val="hybridMultilevel"/>
    <w:tmpl w:val="5EE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39A6"/>
    <w:multiLevelType w:val="hybridMultilevel"/>
    <w:tmpl w:val="34F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461"/>
    <w:multiLevelType w:val="hybridMultilevel"/>
    <w:tmpl w:val="B1AC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0498"/>
    <w:multiLevelType w:val="hybridMultilevel"/>
    <w:tmpl w:val="D76C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59FA"/>
    <w:multiLevelType w:val="hybridMultilevel"/>
    <w:tmpl w:val="0F9C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75962"/>
    <w:multiLevelType w:val="hybridMultilevel"/>
    <w:tmpl w:val="BFEA0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913082"/>
    <w:multiLevelType w:val="hybridMultilevel"/>
    <w:tmpl w:val="3E54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43C9"/>
    <w:multiLevelType w:val="hybridMultilevel"/>
    <w:tmpl w:val="932E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0766F"/>
    <w:multiLevelType w:val="hybridMultilevel"/>
    <w:tmpl w:val="AF36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86"/>
    <w:rsid w:val="00005601"/>
    <w:rsid w:val="000161BD"/>
    <w:rsid w:val="000579B3"/>
    <w:rsid w:val="00073AEF"/>
    <w:rsid w:val="0008085E"/>
    <w:rsid w:val="0009429F"/>
    <w:rsid w:val="000A27F5"/>
    <w:rsid w:val="000B50D5"/>
    <w:rsid w:val="000C5310"/>
    <w:rsid w:val="000D680A"/>
    <w:rsid w:val="000E2551"/>
    <w:rsid w:val="00160A37"/>
    <w:rsid w:val="00166D4F"/>
    <w:rsid w:val="001827CD"/>
    <w:rsid w:val="001C2CD3"/>
    <w:rsid w:val="001E410B"/>
    <w:rsid w:val="001E670A"/>
    <w:rsid w:val="00205673"/>
    <w:rsid w:val="00244F22"/>
    <w:rsid w:val="00254C36"/>
    <w:rsid w:val="00261FFD"/>
    <w:rsid w:val="002634B5"/>
    <w:rsid w:val="00271D78"/>
    <w:rsid w:val="00281EE0"/>
    <w:rsid w:val="002B63D5"/>
    <w:rsid w:val="002C0B75"/>
    <w:rsid w:val="002D053A"/>
    <w:rsid w:val="002D0785"/>
    <w:rsid w:val="002D51FB"/>
    <w:rsid w:val="002F6ECC"/>
    <w:rsid w:val="00305EA9"/>
    <w:rsid w:val="00324D80"/>
    <w:rsid w:val="003413B4"/>
    <w:rsid w:val="0035049C"/>
    <w:rsid w:val="00351394"/>
    <w:rsid w:val="00360C30"/>
    <w:rsid w:val="003745AA"/>
    <w:rsid w:val="003754CE"/>
    <w:rsid w:val="0038606A"/>
    <w:rsid w:val="003F7C09"/>
    <w:rsid w:val="00441871"/>
    <w:rsid w:val="00443B1B"/>
    <w:rsid w:val="00457111"/>
    <w:rsid w:val="00463D4B"/>
    <w:rsid w:val="00470AFB"/>
    <w:rsid w:val="00495D45"/>
    <w:rsid w:val="004A383E"/>
    <w:rsid w:val="004D4274"/>
    <w:rsid w:val="004D7EDB"/>
    <w:rsid w:val="004E157F"/>
    <w:rsid w:val="004F5FF8"/>
    <w:rsid w:val="00515557"/>
    <w:rsid w:val="00524011"/>
    <w:rsid w:val="00594D97"/>
    <w:rsid w:val="005A7E77"/>
    <w:rsid w:val="005C58BE"/>
    <w:rsid w:val="005D32D1"/>
    <w:rsid w:val="005E07CD"/>
    <w:rsid w:val="005E7DC4"/>
    <w:rsid w:val="006040E7"/>
    <w:rsid w:val="00605CDE"/>
    <w:rsid w:val="006247C3"/>
    <w:rsid w:val="00633208"/>
    <w:rsid w:val="00641F9E"/>
    <w:rsid w:val="00654B62"/>
    <w:rsid w:val="00661B3A"/>
    <w:rsid w:val="00672A40"/>
    <w:rsid w:val="00680F8D"/>
    <w:rsid w:val="006821A7"/>
    <w:rsid w:val="00697010"/>
    <w:rsid w:val="006A7C33"/>
    <w:rsid w:val="006C13C2"/>
    <w:rsid w:val="006D1332"/>
    <w:rsid w:val="006E58C8"/>
    <w:rsid w:val="00703CDB"/>
    <w:rsid w:val="007333EB"/>
    <w:rsid w:val="007827C6"/>
    <w:rsid w:val="00797F9B"/>
    <w:rsid w:val="007B0F6D"/>
    <w:rsid w:val="007D087E"/>
    <w:rsid w:val="007D75DB"/>
    <w:rsid w:val="00804AC8"/>
    <w:rsid w:val="00805346"/>
    <w:rsid w:val="008324D5"/>
    <w:rsid w:val="00842459"/>
    <w:rsid w:val="00856386"/>
    <w:rsid w:val="0087012B"/>
    <w:rsid w:val="008D6F38"/>
    <w:rsid w:val="008E3257"/>
    <w:rsid w:val="00923D8A"/>
    <w:rsid w:val="009348C0"/>
    <w:rsid w:val="00955541"/>
    <w:rsid w:val="0096438E"/>
    <w:rsid w:val="00981FD5"/>
    <w:rsid w:val="009A06E8"/>
    <w:rsid w:val="009D3E54"/>
    <w:rsid w:val="009E7A07"/>
    <w:rsid w:val="009F4E8B"/>
    <w:rsid w:val="009F787A"/>
    <w:rsid w:val="00A05E88"/>
    <w:rsid w:val="00A46C4B"/>
    <w:rsid w:val="00A50423"/>
    <w:rsid w:val="00A530BE"/>
    <w:rsid w:val="00AC0F1D"/>
    <w:rsid w:val="00AC1405"/>
    <w:rsid w:val="00AD593D"/>
    <w:rsid w:val="00AF20BC"/>
    <w:rsid w:val="00AF3626"/>
    <w:rsid w:val="00B07DF1"/>
    <w:rsid w:val="00B65A2A"/>
    <w:rsid w:val="00BC1825"/>
    <w:rsid w:val="00BD24C9"/>
    <w:rsid w:val="00BD5808"/>
    <w:rsid w:val="00BD66B5"/>
    <w:rsid w:val="00C36F6A"/>
    <w:rsid w:val="00C432FB"/>
    <w:rsid w:val="00C44021"/>
    <w:rsid w:val="00C81464"/>
    <w:rsid w:val="00C83FCE"/>
    <w:rsid w:val="00CA3F68"/>
    <w:rsid w:val="00CC22DC"/>
    <w:rsid w:val="00CC3A7D"/>
    <w:rsid w:val="00CC555B"/>
    <w:rsid w:val="00CD1A2B"/>
    <w:rsid w:val="00CD1EF6"/>
    <w:rsid w:val="00CD2671"/>
    <w:rsid w:val="00D13140"/>
    <w:rsid w:val="00D13BC9"/>
    <w:rsid w:val="00D15C3A"/>
    <w:rsid w:val="00D633B6"/>
    <w:rsid w:val="00D64979"/>
    <w:rsid w:val="00DB5F05"/>
    <w:rsid w:val="00DE212B"/>
    <w:rsid w:val="00DE7853"/>
    <w:rsid w:val="00E47C77"/>
    <w:rsid w:val="00E51B1E"/>
    <w:rsid w:val="00E71546"/>
    <w:rsid w:val="00E73EA0"/>
    <w:rsid w:val="00E74BD7"/>
    <w:rsid w:val="00EA17A9"/>
    <w:rsid w:val="00F377CB"/>
    <w:rsid w:val="00F42F22"/>
    <w:rsid w:val="00F6307B"/>
    <w:rsid w:val="00FA3B42"/>
    <w:rsid w:val="00FB0919"/>
    <w:rsid w:val="00FC297C"/>
    <w:rsid w:val="00FC3A10"/>
    <w:rsid w:val="00FE0635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A506"/>
  <w15:docId w15:val="{FCF505F2-464D-4EA5-ADFA-0BD30F5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15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5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15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3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10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3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33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Countries\Georgia\Financial%20sustainability%20brief\GEO%20stats%20for%202016%20UHC%20briefi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Countries\Georgia\Purchasing%20situation%20analysis\Georgia%20purchasing%20da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Financial%20protection\FP%20study\Main%20Summary%20results%20Jon%20July%202016%20Sarah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Data\GHED%20GGHE%20EURO%20scatters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Data\GHED%20priority%20EURO%201995%20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Data\GHED%20OOPs%20EURO%201995%20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omsons\Documents\Data\GHED%20priority%20EURO%201995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მოსახლეობის მოცვა</c:v>
                </c:pt>
                <c:pt idx="1">
                  <c:v>ჯანდაცვაზე სახელწმიფო დანახარჯები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1.22</c:v>
                </c:pt>
                <c:pt idx="1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"/>
        <c:axId val="1727247936"/>
        <c:axId val="1727250112"/>
      </c:barChart>
      <c:catAx>
        <c:axId val="1727247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27250112"/>
        <c:crosses val="autoZero"/>
        <c:auto val="1"/>
        <c:lblAlgn val="ctr"/>
        <c:lblOffset val="100"/>
        <c:noMultiLvlLbl val="0"/>
      </c:catAx>
      <c:valAx>
        <c:axId val="17272501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727247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cat>
            <c:strRef>
              <c:f>Sheet3!$A$4:$A$8</c:f>
              <c:strCache>
                <c:ptCount val="5"/>
                <c:pt idx="0">
                  <c:v>Cardiac surgery</c:v>
                </c:pt>
                <c:pt idx="1">
                  <c:v>Emergency inpatient care</c:v>
                </c:pt>
                <c:pt idx="2">
                  <c:v>Chemo-, hormone and radiotherapy</c:v>
                </c:pt>
                <c:pt idx="3">
                  <c:v>Elective surgery (excluding cardiac)</c:v>
                </c:pt>
                <c:pt idx="4">
                  <c:v>Obstetrics and caesarean sections</c:v>
                </c:pt>
              </c:strCache>
            </c:strRef>
          </c:cat>
          <c:val>
            <c:numRef>
              <c:f>Sheet3!$B$4:$B$8</c:f>
              <c:numCache>
                <c:formatCode>General</c:formatCode>
                <c:ptCount val="5"/>
                <c:pt idx="0">
                  <c:v>5076</c:v>
                </c:pt>
                <c:pt idx="1">
                  <c:v>1973</c:v>
                </c:pt>
                <c:pt idx="2">
                  <c:v>874</c:v>
                </c:pt>
                <c:pt idx="3">
                  <c:v>948</c:v>
                </c:pt>
                <c:pt idx="4">
                  <c:v>620</c:v>
                </c:pt>
              </c:numCache>
            </c:numRef>
          </c:val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Sheet3!$A$4:$A$8</c:f>
              <c:strCache>
                <c:ptCount val="5"/>
                <c:pt idx="0">
                  <c:v>Cardiac surgery</c:v>
                </c:pt>
                <c:pt idx="1">
                  <c:v>Emergency inpatient care</c:v>
                </c:pt>
                <c:pt idx="2">
                  <c:v>Chemo-, hormone and radiotherapy</c:v>
                </c:pt>
                <c:pt idx="3">
                  <c:v>Elective surgery (excluding cardiac)</c:v>
                </c:pt>
                <c:pt idx="4">
                  <c:v>Obstetrics and caesarean sections</c:v>
                </c:pt>
              </c:strCache>
            </c:strRef>
          </c:cat>
          <c:val>
            <c:numRef>
              <c:f>Sheet3!$C$4:$C$8</c:f>
              <c:numCache>
                <c:formatCode>General</c:formatCode>
                <c:ptCount val="5"/>
                <c:pt idx="0">
                  <c:v>5699</c:v>
                </c:pt>
                <c:pt idx="1">
                  <c:v>1274</c:v>
                </c:pt>
                <c:pt idx="2">
                  <c:v>764</c:v>
                </c:pt>
                <c:pt idx="3">
                  <c:v>853</c:v>
                </c:pt>
                <c:pt idx="4">
                  <c:v>580</c:v>
                </c:pt>
              </c:numCache>
            </c:numRef>
          </c:val>
        </c:ser>
        <c:ser>
          <c:idx val="2"/>
          <c:order val="2"/>
          <c:tx>
            <c:strRef>
              <c:f>Sheet3!$D$3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Sheet3!$A$4:$A$8</c:f>
              <c:strCache>
                <c:ptCount val="5"/>
                <c:pt idx="0">
                  <c:v>Cardiac surgery</c:v>
                </c:pt>
                <c:pt idx="1">
                  <c:v>Emergency inpatient care</c:v>
                </c:pt>
                <c:pt idx="2">
                  <c:v>Chemo-, hormone and radiotherapy</c:v>
                </c:pt>
                <c:pt idx="3">
                  <c:v>Elective surgery (excluding cardiac)</c:v>
                </c:pt>
                <c:pt idx="4">
                  <c:v>Obstetrics and caesarean sections</c:v>
                </c:pt>
              </c:strCache>
            </c:strRef>
          </c:cat>
          <c:val>
            <c:numRef>
              <c:f>Sheet3!$D$4:$D$8</c:f>
              <c:numCache>
                <c:formatCode>General</c:formatCode>
                <c:ptCount val="5"/>
                <c:pt idx="0">
                  <c:v>4156</c:v>
                </c:pt>
                <c:pt idx="1">
                  <c:v>988</c:v>
                </c:pt>
                <c:pt idx="2">
                  <c:v>654</c:v>
                </c:pt>
                <c:pt idx="3">
                  <c:v>531</c:v>
                </c:pt>
                <c:pt idx="4">
                  <c:v>511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8"/>
        <c:axId val="1727244128"/>
        <c:axId val="1727245216"/>
      </c:barChart>
      <c:catAx>
        <c:axId val="1727244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27245216"/>
        <c:crosses val="autoZero"/>
        <c:auto val="1"/>
        <c:lblAlgn val="ctr"/>
        <c:lblOffset val="100"/>
        <c:noMultiLvlLbl val="0"/>
      </c:catAx>
      <c:valAx>
        <c:axId val="17272452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GEL per case</a:t>
                </a:r>
              </a:p>
            </c:rich>
          </c:tx>
          <c:layout>
            <c:manualLayout>
              <c:xMode val="edge"/>
              <c:yMode val="edge"/>
              <c:x val="9.4061443758379128E-3"/>
              <c:y val="0.2527115698375540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noFill/>
          </a:ln>
        </c:spPr>
        <c:crossAx val="17272441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Outpatient contacts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Pt>
            <c:idx val="1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Sheet1!$A$2:$A$15</c:f>
              <c:strCache>
                <c:ptCount val="14"/>
                <c:pt idx="0">
                  <c:v>Racha-Lechkhumi</c:v>
                </c:pt>
                <c:pt idx="1">
                  <c:v>Kvemo kartli</c:v>
                </c:pt>
                <c:pt idx="2">
                  <c:v>Samtkhe Javaketi</c:v>
                </c:pt>
                <c:pt idx="3">
                  <c:v>Guria</c:v>
                </c:pt>
                <c:pt idx="4">
                  <c:v>Samegrelo Zemo Svaneti</c:v>
                </c:pt>
                <c:pt idx="5">
                  <c:v>Mtskheta-Mtianeti</c:v>
                </c:pt>
                <c:pt idx="6">
                  <c:v>Kakheti</c:v>
                </c:pt>
                <c:pt idx="7">
                  <c:v>Sida kartli</c:v>
                </c:pt>
                <c:pt idx="8">
                  <c:v>Adara</c:v>
                </c:pt>
                <c:pt idx="9">
                  <c:v>Imereti</c:v>
                </c:pt>
                <c:pt idx="10">
                  <c:v>Georgia</c:v>
                </c:pt>
                <c:pt idx="11">
                  <c:v>Tbilisi</c:v>
                </c:pt>
                <c:pt idx="12">
                  <c:v>EU28 average</c:v>
                </c:pt>
                <c:pt idx="13">
                  <c:v>European region average</c:v>
                </c:pt>
              </c:strCache>
            </c:strRef>
          </c:cat>
          <c:val>
            <c:numRef>
              <c:f>Sheet1!$B$2:$B$15</c:f>
              <c:numCache>
                <c:formatCode>0.0</c:formatCode>
                <c:ptCount val="14"/>
                <c:pt idx="0">
                  <c:v>1.3</c:v>
                </c:pt>
                <c:pt idx="1">
                  <c:v>1.3</c:v>
                </c:pt>
                <c:pt idx="2">
                  <c:v>1.4</c:v>
                </c:pt>
                <c:pt idx="3">
                  <c:v>1.7</c:v>
                </c:pt>
                <c:pt idx="4">
                  <c:v>1.7</c:v>
                </c:pt>
                <c:pt idx="5">
                  <c:v>1.8</c:v>
                </c:pt>
                <c:pt idx="6">
                  <c:v>2</c:v>
                </c:pt>
                <c:pt idx="7">
                  <c:v>2.6</c:v>
                </c:pt>
                <c:pt idx="8">
                  <c:v>2.7</c:v>
                </c:pt>
                <c:pt idx="9">
                  <c:v>2.8</c:v>
                </c:pt>
                <c:pt idx="10">
                  <c:v>3.2</c:v>
                </c:pt>
                <c:pt idx="11">
                  <c:v>5.4</c:v>
                </c:pt>
                <c:pt idx="12">
                  <c:v>6.92</c:v>
                </c:pt>
                <c:pt idx="13">
                  <c:v>7.55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6"/>
        <c:axId val="1541037088"/>
        <c:axId val="1541037632"/>
      </c:barChart>
      <c:catAx>
        <c:axId val="1541037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541037632"/>
        <c:crosses val="autoZero"/>
        <c:auto val="1"/>
        <c:lblAlgn val="ctr"/>
        <c:lblOffset val="100"/>
        <c:noMultiLvlLbl val="0"/>
      </c:catAx>
      <c:valAx>
        <c:axId val="1541037632"/>
        <c:scaling>
          <c:orientation val="minMax"/>
          <c:max val="9"/>
        </c:scaling>
        <c:delete val="1"/>
        <c:axPos val="l"/>
        <c:numFmt formatCode="0" sourceLinked="0"/>
        <c:majorTickMark val="out"/>
        <c:minorTickMark val="none"/>
        <c:tickLblPos val="nextTo"/>
        <c:crossAx val="15410370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774327122153208E-2"/>
          <c:y val="9.2226933171815151E-4"/>
          <c:w val="0.95445134575569357"/>
          <c:h val="0.85349937411669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Sheet2!$A$3</c:f>
              <c:strCache>
                <c:ptCount val="1"/>
                <c:pt idx="0">
                  <c:v>Catastrophic OOPs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Sheet2!$B$2:$J$2</c:f>
              <c:strCache>
                <c:ptCount val="8"/>
                <c:pt idx="0">
                  <c:v>Moldova</c:v>
                </c:pt>
                <c:pt idx="1">
                  <c:v>Georgia                 in 2011</c:v>
                </c:pt>
                <c:pt idx="2">
                  <c:v>Latvia</c:v>
                </c:pt>
                <c:pt idx="3">
                  <c:v>Georgia               in 2014</c:v>
                </c:pt>
                <c:pt idx="4">
                  <c:v>Lithuania</c:v>
                </c:pt>
                <c:pt idx="5">
                  <c:v>Estonia</c:v>
                </c:pt>
                <c:pt idx="6">
                  <c:v>Czech Republic</c:v>
                </c:pt>
                <c:pt idx="7">
                  <c:v>Slovenia</c:v>
                </c:pt>
              </c:strCache>
            </c:strRef>
          </c:cat>
          <c:val>
            <c:numRef>
              <c:f>Sheet2!$B$3:$J$3</c:f>
              <c:numCache>
                <c:formatCode>0%</c:formatCode>
                <c:ptCount val="8"/>
                <c:pt idx="0">
                  <c:v>0.15241055000000001</c:v>
                </c:pt>
                <c:pt idx="1">
                  <c:v>0.13700000000000001</c:v>
                </c:pt>
                <c:pt idx="2">
                  <c:v>0.12894789333231524</c:v>
                </c:pt>
                <c:pt idx="3">
                  <c:v>0.12632360000000001</c:v>
                </c:pt>
                <c:pt idx="4">
                  <c:v>9.4E-2</c:v>
                </c:pt>
                <c:pt idx="5">
                  <c:v>6.149730660187637E-2</c:v>
                </c:pt>
                <c:pt idx="6">
                  <c:v>1.4848066298342542E-2</c:v>
                </c:pt>
                <c:pt idx="7">
                  <c:v>9.9436699999999999E-3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"/>
        <c:axId val="1582910944"/>
        <c:axId val="1582909856"/>
      </c:barChart>
      <c:catAx>
        <c:axId val="158291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noFill/>
          </a:ln>
        </c:spPr>
        <c:crossAx val="1582909856"/>
        <c:crosses val="autoZero"/>
        <c:auto val="1"/>
        <c:lblAlgn val="ctr"/>
        <c:lblOffset val="100"/>
        <c:noMultiLvlLbl val="0"/>
      </c:catAx>
      <c:valAx>
        <c:axId val="1582909856"/>
        <c:scaling>
          <c:orientation val="minMax"/>
        </c:scaling>
        <c:delete val="1"/>
        <c:axPos val="l"/>
        <c:numFmt formatCode="0%" sourceLinked="0"/>
        <c:majorTickMark val="out"/>
        <c:minorTickMark val="none"/>
        <c:tickLblPos val="nextTo"/>
        <c:crossAx val="1582910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11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2"/>
            <c:marker>
              <c:spPr>
                <a:solidFill>
                  <a:srgbClr val="C00000"/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3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4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5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6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7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9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1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4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5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6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18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20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26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32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dPt>
            <c:idx val="35"/>
            <c:marker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rgbClr val="002060"/>
                  </a:solidFill>
                </a:ln>
              </c:spPr>
            </c:marker>
            <c:bubble3D val="0"/>
          </c:dPt>
          <c:trendline>
            <c:trendlineType val="linear"/>
            <c:dispRSqr val="1"/>
            <c:dispEq val="0"/>
            <c:trendlineLbl>
              <c:layout>
                <c:manualLayout>
                  <c:x val="6.5608437834159622E-2"/>
                  <c:y val="-7.8488471121124587E-2"/>
                </c:manualLayout>
              </c:layout>
              <c:numFmt formatCode="#,##0.00" sourceLinked="0"/>
            </c:trendlineLbl>
          </c:trendline>
          <c:xVal>
            <c:numRef>
              <c:f>'Scatter EURO no smalls'!$B$2:$B$51</c:f>
              <c:numCache>
                <c:formatCode>#,##0</c:formatCode>
                <c:ptCount val="49"/>
                <c:pt idx="0">
                  <c:v>17348.42355643</c:v>
                </c:pt>
                <c:pt idx="1">
                  <c:v>15473.579728729999</c:v>
                </c:pt>
                <c:pt idx="2">
                  <c:v>8463.9289330500014</c:v>
                </c:pt>
                <c:pt idx="3">
                  <c:v>8082.8839524300001</c:v>
                </c:pt>
                <c:pt idx="4">
                  <c:v>2690.7521683299992</c:v>
                </c:pt>
                <c:pt idx="5">
                  <c:v>24519.671168989997</c:v>
                </c:pt>
                <c:pt idx="6">
                  <c:v>10445.774824240001</c:v>
                </c:pt>
                <c:pt idx="7">
                  <c:v>5816.6470411400005</c:v>
                </c:pt>
                <c:pt idx="8">
                  <c:v>27992.437208459996</c:v>
                </c:pt>
                <c:pt idx="9">
                  <c:v>8233.6206965700003</c:v>
                </c:pt>
                <c:pt idx="10">
                  <c:v>3316.8648337999998</c:v>
                </c:pt>
                <c:pt idx="11">
                  <c:v>13841.83672567</c:v>
                </c:pt>
                <c:pt idx="12">
                  <c:v>25963.327918499996</c:v>
                </c:pt>
                <c:pt idx="13">
                  <c:v>15989.652127850004</c:v>
                </c:pt>
                <c:pt idx="14">
                  <c:v>18126.632886740001</c:v>
                </c:pt>
                <c:pt idx="15">
                  <c:v>13142.424792979999</c:v>
                </c:pt>
                <c:pt idx="16">
                  <c:v>19140.776504640002</c:v>
                </c:pt>
                <c:pt idx="17">
                  <c:v>26220.888154349999</c:v>
                </c:pt>
                <c:pt idx="18">
                  <c:v>19393.648912029999</c:v>
                </c:pt>
                <c:pt idx="19">
                  <c:v>24730.480968249998</c:v>
                </c:pt>
                <c:pt idx="20">
                  <c:v>16568.670608119999</c:v>
                </c:pt>
                <c:pt idx="21">
                  <c:v>33286.753388849997</c:v>
                </c:pt>
                <c:pt idx="22">
                  <c:v>24682.193422799995</c:v>
                </c:pt>
                <c:pt idx="23">
                  <c:v>25952.28795233</c:v>
                </c:pt>
                <c:pt idx="24">
                  <c:v>26152.006980390001</c:v>
                </c:pt>
                <c:pt idx="25">
                  <c:v>48836.801130120002</c:v>
                </c:pt>
                <c:pt idx="26">
                  <c:v>4980.8925718500004</c:v>
                </c:pt>
                <c:pt idx="27">
                  <c:v>27055.353096729999</c:v>
                </c:pt>
                <c:pt idx="28">
                  <c:v>28311.976846960002</c:v>
                </c:pt>
                <c:pt idx="29">
                  <c:v>28961.631416640004</c:v>
                </c:pt>
                <c:pt idx="30">
                  <c:v>21172.255634950001</c:v>
                </c:pt>
                <c:pt idx="31">
                  <c:v>32844.46955491</c:v>
                </c:pt>
                <c:pt idx="32">
                  <c:v>12655.481440349999</c:v>
                </c:pt>
                <c:pt idx="33">
                  <c:v>29214.904631959995</c:v>
                </c:pt>
                <c:pt idx="34">
                  <c:v>31504.130971449998</c:v>
                </c:pt>
                <c:pt idx="35">
                  <c:v>10002.041183329999</c:v>
                </c:pt>
                <c:pt idx="36">
                  <c:v>35022.899863209997</c:v>
                </c:pt>
                <c:pt idx="37">
                  <c:v>43815.679303030003</c:v>
                </c:pt>
                <c:pt idx="38">
                  <c:v>38235.288684979998</c:v>
                </c:pt>
                <c:pt idx="39">
                  <c:v>37045.476825440004</c:v>
                </c:pt>
                <c:pt idx="40">
                  <c:v>55479.427795849995</c:v>
                </c:pt>
                <c:pt idx="41">
                  <c:v>41450.669164509993</c:v>
                </c:pt>
                <c:pt idx="42">
                  <c:v>65296.295200039996</c:v>
                </c:pt>
                <c:pt idx="43">
                  <c:v>45871.591948229994</c:v>
                </c:pt>
                <c:pt idx="44">
                  <c:v>44968.039437670013</c:v>
                </c:pt>
                <c:pt idx="45">
                  <c:v>39066.916684530006</c:v>
                </c:pt>
                <c:pt idx="46">
                  <c:v>44258.015385929997</c:v>
                </c:pt>
                <c:pt idx="47">
                  <c:v>47733.839502289993</c:v>
                </c:pt>
                <c:pt idx="48">
                  <c:v>43746.277304130002</c:v>
                </c:pt>
              </c:numCache>
            </c:numRef>
          </c:xVal>
          <c:yVal>
            <c:numRef>
              <c:f>'Scatter EURO no smalls'!$C$2:$C$51</c:f>
              <c:numCache>
                <c:formatCode>#,##0.00</c:formatCode>
                <c:ptCount val="49"/>
                <c:pt idx="0">
                  <c:v>1.2309674799999999</c:v>
                </c:pt>
                <c:pt idx="1">
                  <c:v>1.3485305599999999</c:v>
                </c:pt>
                <c:pt idx="2">
                  <c:v>1.55273054</c:v>
                </c:pt>
                <c:pt idx="3">
                  <c:v>1.92567567</c:v>
                </c:pt>
                <c:pt idx="4">
                  <c:v>1.9837650100000002</c:v>
                </c:pt>
                <c:pt idx="5">
                  <c:v>2.3679030899999995</c:v>
                </c:pt>
                <c:pt idx="6">
                  <c:v>2.9363732800000006</c:v>
                </c:pt>
                <c:pt idx="7">
                  <c:v>3.11124825</c:v>
                </c:pt>
                <c:pt idx="8">
                  <c:v>3.3320192199999994</c:v>
                </c:pt>
                <c:pt idx="9">
                  <c:v>3.6045211200000002</c:v>
                </c:pt>
                <c:pt idx="10">
                  <c:v>3.6394375500000002</c:v>
                </c:pt>
                <c:pt idx="11">
                  <c:v>3.6673809300000002</c:v>
                </c:pt>
                <c:pt idx="12">
                  <c:v>3.69092281</c:v>
                </c:pt>
                <c:pt idx="13">
                  <c:v>3.71523198</c:v>
                </c:pt>
                <c:pt idx="14">
                  <c:v>3.7417552500000006</c:v>
                </c:pt>
                <c:pt idx="15">
                  <c:v>4.1014206299999998</c:v>
                </c:pt>
                <c:pt idx="16">
                  <c:v>4.1937789700000003</c:v>
                </c:pt>
                <c:pt idx="17">
                  <c:v>4.4468896100000004</c:v>
                </c:pt>
                <c:pt idx="18">
                  <c:v>4.4744775500000005</c:v>
                </c:pt>
                <c:pt idx="19">
                  <c:v>4.5076395999999992</c:v>
                </c:pt>
                <c:pt idx="20">
                  <c:v>4.6076314599999995</c:v>
                </c:pt>
                <c:pt idx="21">
                  <c:v>4.7516958099999993</c:v>
                </c:pt>
                <c:pt idx="22">
                  <c:v>4.8830819099999996</c:v>
                </c:pt>
                <c:pt idx="23">
                  <c:v>4.9850391899999993</c:v>
                </c:pt>
                <c:pt idx="24">
                  <c:v>5.0283959000000005</c:v>
                </c:pt>
                <c:pt idx="25">
                  <c:v>5.1414840799999997</c:v>
                </c:pt>
                <c:pt idx="26">
                  <c:v>5.3039883099999994</c:v>
                </c:pt>
                <c:pt idx="27">
                  <c:v>5.8395992000000003</c:v>
                </c:pt>
                <c:pt idx="28">
                  <c:v>6.1581891100000004</c:v>
                </c:pt>
                <c:pt idx="29">
                  <c:v>6.2649763800000002</c:v>
                </c:pt>
                <c:pt idx="30">
                  <c:v>6.38828759</c:v>
                </c:pt>
                <c:pt idx="31">
                  <c:v>6.3999919000000016</c:v>
                </c:pt>
                <c:pt idx="32">
                  <c:v>6.4165055999999989</c:v>
                </c:pt>
                <c:pt idx="33">
                  <c:v>6.6238217899999992</c:v>
                </c:pt>
                <c:pt idx="34">
                  <c:v>6.7434303900000003</c:v>
                </c:pt>
                <c:pt idx="35">
                  <c:v>6.8130770800000011</c:v>
                </c:pt>
                <c:pt idx="36">
                  <c:v>6.9926510299999993</c:v>
                </c:pt>
                <c:pt idx="37">
                  <c:v>7.1797059399999998</c:v>
                </c:pt>
                <c:pt idx="38">
                  <c:v>7.289814269999999</c:v>
                </c:pt>
                <c:pt idx="39">
                  <c:v>7.5788501699999999</c:v>
                </c:pt>
                <c:pt idx="40">
                  <c:v>7.6951173599999994</c:v>
                </c:pt>
                <c:pt idx="41">
                  <c:v>8.2499894699999992</c:v>
                </c:pt>
                <c:pt idx="42">
                  <c:v>8.309618200000001</c:v>
                </c:pt>
                <c:pt idx="43">
                  <c:v>8.697237320000001</c:v>
                </c:pt>
                <c:pt idx="44">
                  <c:v>8.7250257200000014</c:v>
                </c:pt>
                <c:pt idx="45">
                  <c:v>9.0245143700000003</c:v>
                </c:pt>
                <c:pt idx="46">
                  <c:v>9.1587341099999993</c:v>
                </c:pt>
                <c:pt idx="47">
                  <c:v>9.4811327300000023</c:v>
                </c:pt>
                <c:pt idx="48">
                  <c:v>10.024694299999998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2908224"/>
        <c:axId val="1540923392"/>
      </c:scatterChart>
      <c:valAx>
        <c:axId val="15829082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GDP per capita in current PPP</a:t>
                </a:r>
              </a:p>
            </c:rich>
          </c:tx>
          <c:layout>
            <c:manualLayout>
              <c:xMode val="edge"/>
              <c:yMode val="edge"/>
              <c:x val="0.35040225527364638"/>
              <c:y val="0.9160839284057150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spPr>
          <a:ln>
            <a:noFill/>
          </a:ln>
        </c:spPr>
        <c:crossAx val="1540923392"/>
        <c:crosses val="autoZero"/>
        <c:crossBetween val="midCat"/>
      </c:valAx>
      <c:valAx>
        <c:axId val="15409233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Public spending on health as % GDP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spPr>
          <a:ln>
            <a:noFill/>
          </a:ln>
        </c:spPr>
        <c:crossAx val="158290822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609294030553868E-2"/>
          <c:y val="0.13880435327749635"/>
          <c:w val="0.62490644919385063"/>
          <c:h val="0.68746710801277233"/>
        </c:manualLayout>
      </c:layout>
      <c:lineChart>
        <c:grouping val="standard"/>
        <c:varyColors val="0"/>
        <c:ser>
          <c:idx val="6"/>
          <c:order val="0"/>
          <c:tx>
            <c:strRef>
              <c:f>'Chart income averages'!$A$8</c:f>
              <c:strCache>
                <c:ptCount val="1"/>
                <c:pt idx="0">
                  <c:v>HIC average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circle"/>
            <c:size val="7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averages'!$B$8:$U$8</c:f>
              <c:numCache>
                <c:formatCode>0.0</c:formatCode>
                <c:ptCount val="15"/>
                <c:pt idx="0">
                  <c:v>12.751644241935486</c:v>
                </c:pt>
                <c:pt idx="1">
                  <c:v>12.88914267354839</c:v>
                </c:pt>
                <c:pt idx="2">
                  <c:v>13.12064529903226</c:v>
                </c:pt>
                <c:pt idx="3">
                  <c:v>13.367619427096773</c:v>
                </c:pt>
                <c:pt idx="4">
                  <c:v>13.550673502258064</c:v>
                </c:pt>
                <c:pt idx="5">
                  <c:v>13.887533501935488</c:v>
                </c:pt>
                <c:pt idx="6">
                  <c:v>14.09924102548387</c:v>
                </c:pt>
                <c:pt idx="7">
                  <c:v>14.144663289677418</c:v>
                </c:pt>
                <c:pt idx="8">
                  <c:v>14.129109240000004</c:v>
                </c:pt>
                <c:pt idx="9">
                  <c:v>14.117145501612903</c:v>
                </c:pt>
                <c:pt idx="10">
                  <c:v>13.828161503225802</c:v>
                </c:pt>
                <c:pt idx="11">
                  <c:v>14.225311516451614</c:v>
                </c:pt>
                <c:pt idx="12">
                  <c:v>14.266298547419357</c:v>
                </c:pt>
                <c:pt idx="13">
                  <c:v>14.286034806774191</c:v>
                </c:pt>
                <c:pt idx="14">
                  <c:v>14.339689992580642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'Chart income averages'!$A$2</c:f>
              <c:strCache>
                <c:ptCount val="1"/>
                <c:pt idx="0">
                  <c:v>EU28</c:v>
                </c:pt>
              </c:strCache>
            </c:strRef>
          </c:tx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averages'!$B$2:$U$2</c:f>
            </c:numRef>
          </c:val>
          <c:smooth val="0"/>
        </c:ser>
        <c:ser>
          <c:idx val="3"/>
          <c:order val="2"/>
          <c:tx>
            <c:strRef>
              <c:f>'Chart income averages'!$A$6</c:f>
              <c:strCache>
                <c:ptCount val="1"/>
                <c:pt idx="0">
                  <c:v>UMIC average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circle"/>
            <c:size val="7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averages'!$B$6:$U$6</c:f>
              <c:numCache>
                <c:formatCode>0.0</c:formatCode>
                <c:ptCount val="15"/>
                <c:pt idx="0">
                  <c:v>10.978115680000002</c:v>
                </c:pt>
                <c:pt idx="1">
                  <c:v>10.626348747692308</c:v>
                </c:pt>
                <c:pt idx="2">
                  <c:v>10.745033159230768</c:v>
                </c:pt>
                <c:pt idx="3">
                  <c:v>11.378284172307692</c:v>
                </c:pt>
                <c:pt idx="4">
                  <c:v>11.558450248461538</c:v>
                </c:pt>
                <c:pt idx="5">
                  <c:v>11.279824666153846</c:v>
                </c:pt>
                <c:pt idx="6">
                  <c:v>10.954592886923077</c:v>
                </c:pt>
                <c:pt idx="7">
                  <c:v>10.315205774615386</c:v>
                </c:pt>
                <c:pt idx="8">
                  <c:v>10.016598856923075</c:v>
                </c:pt>
                <c:pt idx="9">
                  <c:v>10.122135193846153</c:v>
                </c:pt>
                <c:pt idx="10">
                  <c:v>10.802173168461538</c:v>
                </c:pt>
                <c:pt idx="11">
                  <c:v>10.801960153076923</c:v>
                </c:pt>
                <c:pt idx="12">
                  <c:v>10.910261327692307</c:v>
                </c:pt>
                <c:pt idx="13">
                  <c:v>10.915905472307692</c:v>
                </c:pt>
                <c:pt idx="14">
                  <c:v>10.854606476923077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'Chart income averages'!$A$5</c:f>
              <c:strCache>
                <c:ptCount val="1"/>
                <c:pt idx="0">
                  <c:v>LMIC average</c:v>
                </c:pt>
              </c:strCache>
            </c:strRef>
          </c:tx>
          <c:spPr>
            <a:ln>
              <a:solidFill>
                <a:schemeClr val="accent1">
                  <a:lumMod val="60000"/>
                  <a:lumOff val="40000"/>
                </a:schemeClr>
              </a:solidFill>
            </a:ln>
          </c:spPr>
          <c:marker>
            <c:symbol val="circle"/>
            <c:size val="7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accent1">
                    <a:lumMod val="60000"/>
                    <a:lumOff val="40000"/>
                  </a:schemeClr>
                </a:solidFill>
              </a:ln>
            </c:spPr>
          </c:marker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averages'!$B$5:$U$5</c:f>
              <c:numCache>
                <c:formatCode>0.0</c:formatCode>
                <c:ptCount val="15"/>
                <c:pt idx="0">
                  <c:v>8.3448408714285716</c:v>
                </c:pt>
                <c:pt idx="1">
                  <c:v>9.2501512914285708</c:v>
                </c:pt>
                <c:pt idx="2">
                  <c:v>8.9390988928571442</c:v>
                </c:pt>
                <c:pt idx="3">
                  <c:v>9.1497192700000003</c:v>
                </c:pt>
                <c:pt idx="4">
                  <c:v>8.9259561671428571</c:v>
                </c:pt>
                <c:pt idx="5">
                  <c:v>9.2407353114285709</c:v>
                </c:pt>
                <c:pt idx="6">
                  <c:v>10.500044455714287</c:v>
                </c:pt>
                <c:pt idx="7">
                  <c:v>9.7667154971428563</c:v>
                </c:pt>
                <c:pt idx="8">
                  <c:v>8.8850973442857129</c:v>
                </c:pt>
                <c:pt idx="9">
                  <c:v>9.2768305342857129</c:v>
                </c:pt>
                <c:pt idx="10">
                  <c:v>9.4842568814285695</c:v>
                </c:pt>
                <c:pt idx="11">
                  <c:v>9.2530094057142858</c:v>
                </c:pt>
                <c:pt idx="12">
                  <c:v>9.4293574142857164</c:v>
                </c:pt>
                <c:pt idx="13">
                  <c:v>9.5487063557142857</c:v>
                </c:pt>
                <c:pt idx="14">
                  <c:v>9.379904124285714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'Chart income averages'!$A$3</c:f>
              <c:strCache>
                <c:ptCount val="1"/>
                <c:pt idx="0">
                  <c:v>EU13</c:v>
                </c:pt>
              </c:strCache>
            </c:strRef>
          </c:tx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averages'!$B$3:$U$3</c:f>
            </c:numRef>
          </c:val>
          <c:smooth val="0"/>
        </c:ser>
        <c:ser>
          <c:idx val="5"/>
          <c:order val="5"/>
          <c:tx>
            <c:strRef>
              <c:f>'Chart income averages'!$A$7</c:f>
              <c:strCache>
                <c:ptCount val="1"/>
                <c:pt idx="0">
                  <c:v>Georgia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averages'!$B$7:$U$7</c:f>
              <c:numCache>
                <c:formatCode>#,##0.0</c:formatCode>
                <c:ptCount val="15"/>
                <c:pt idx="0">
                  <c:v>6.9148017399999997</c:v>
                </c:pt>
                <c:pt idx="1">
                  <c:v>7.77650445</c:v>
                </c:pt>
                <c:pt idx="2">
                  <c:v>7.7734992099999989</c:v>
                </c:pt>
                <c:pt idx="3">
                  <c:v>7.063001840000001</c:v>
                </c:pt>
                <c:pt idx="4">
                  <c:v>5.5978413599999994</c:v>
                </c:pt>
                <c:pt idx="5">
                  <c:v>6.1501048300000001</c:v>
                </c:pt>
                <c:pt idx="6">
                  <c:v>5.8759871399999994</c:v>
                </c:pt>
                <c:pt idx="7">
                  <c:v>4.2559096800000003</c:v>
                </c:pt>
                <c:pt idx="8">
                  <c:v>4.7799478199999994</c:v>
                </c:pt>
                <c:pt idx="9">
                  <c:v>6.0710771500000007</c:v>
                </c:pt>
                <c:pt idx="10">
                  <c:v>6.5526279499999998</c:v>
                </c:pt>
                <c:pt idx="11">
                  <c:v>5.3409418299999993</c:v>
                </c:pt>
                <c:pt idx="12">
                  <c:v>3.81764393</c:v>
                </c:pt>
                <c:pt idx="13">
                  <c:v>4.2212068600000006</c:v>
                </c:pt>
                <c:pt idx="14">
                  <c:v>5.0048490700000006</c:v>
                </c:pt>
              </c:numCache>
            </c:numRef>
          </c:val>
          <c:smooth val="0"/>
        </c:ser>
        <c:ser>
          <c:idx val="1"/>
          <c:order val="6"/>
          <c:tx>
            <c:strRef>
              <c:f>'Chart income averages'!$A$4</c:f>
              <c:strCache>
                <c:ptCount val="1"/>
                <c:pt idx="0">
                  <c:v>EU15</c:v>
                </c:pt>
              </c:strCache>
            </c:strRef>
          </c:tx>
          <c:cat>
            <c:strRef>
              <c:f>'Chart income averages'!$B$1:$U$1</c:f>
              <c:strCach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strCache>
            </c:strRef>
          </c:cat>
          <c:val>
            <c:numRef>
              <c:f>'Chart income averages'!$B$4:$U$4</c:f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0925568"/>
        <c:axId val="1788572528"/>
      </c:lineChart>
      <c:catAx>
        <c:axId val="1540925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788572528"/>
        <c:crosses val="autoZero"/>
        <c:auto val="1"/>
        <c:lblAlgn val="ctr"/>
        <c:lblOffset val="100"/>
        <c:noMultiLvlLbl val="0"/>
      </c:catAx>
      <c:valAx>
        <c:axId val="17885725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% of state budget</a:t>
                </a:r>
              </a:p>
            </c:rich>
          </c:tx>
          <c:layout>
            <c:manualLayout>
              <c:xMode val="edge"/>
              <c:yMode val="edge"/>
              <c:x val="2.7424456558314817E-4"/>
              <c:y val="0.41638854776180501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5409255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4391132358455203"/>
          <c:y val="0.13654578644797427"/>
          <c:w val="0.25356449193850766"/>
          <c:h val="0.54365328901361376"/>
        </c:manualLayout>
      </c:layout>
      <c:overlay val="0"/>
      <c:txPr>
        <a:bodyPr/>
        <a:lstStyle/>
        <a:p>
          <a:pPr marL="91440">
            <a:defRPr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</c:spPr>
          <c:invertIfNegative val="0"/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6"/>
            <c:invertIfNegative val="0"/>
            <c:bubble3D val="0"/>
          </c:dPt>
          <c:dPt>
            <c:idx val="18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Sheet3!$D$2:$D$22</c:f>
              <c:strCache>
                <c:ptCount val="21"/>
                <c:pt idx="0">
                  <c:v>Turkey</c:v>
                </c:pt>
                <c:pt idx="1">
                  <c:v>Romania</c:v>
                </c:pt>
                <c:pt idx="2">
                  <c:v>HIC average</c:v>
                </c:pt>
                <c:pt idx="3">
                  <c:v>B &amp; H</c:v>
                </c:pt>
                <c:pt idx="4">
                  <c:v>Belarus</c:v>
                </c:pt>
                <c:pt idx="5">
                  <c:v>Turkmenistan</c:v>
                </c:pt>
                <c:pt idx="6">
                  <c:v>Serbia</c:v>
                </c:pt>
                <c:pt idx="7">
                  <c:v>TFYRM</c:v>
                </c:pt>
                <c:pt idx="8">
                  <c:v>Rep Moldova</c:v>
                </c:pt>
                <c:pt idx="9">
                  <c:v>Kyrgyzstan</c:v>
                </c:pt>
                <c:pt idx="10">
                  <c:v>MIC average</c:v>
                </c:pt>
                <c:pt idx="11">
                  <c:v>Montenegro</c:v>
                </c:pt>
                <c:pt idx="12">
                  <c:v>Uzbekistan</c:v>
                </c:pt>
                <c:pt idx="13">
                  <c:v>Bulgaria</c:v>
                </c:pt>
                <c:pt idx="14">
                  <c:v>Kazakhstan</c:v>
                </c:pt>
                <c:pt idx="15">
                  <c:v>Ukraine</c:v>
                </c:pt>
                <c:pt idx="16">
                  <c:v>Albania</c:v>
                </c:pt>
                <c:pt idx="17">
                  <c:v>Armenia</c:v>
                </c:pt>
                <c:pt idx="18">
                  <c:v>Georgia</c:v>
                </c:pt>
                <c:pt idx="19">
                  <c:v>Tajikistan</c:v>
                </c:pt>
                <c:pt idx="20">
                  <c:v>Azerbaijan</c:v>
                </c:pt>
              </c:strCache>
            </c:strRef>
          </c:cat>
          <c:val>
            <c:numRef>
              <c:f>Sheet3!$E$2:$E$22</c:f>
              <c:numCache>
                <c:formatCode>#,##0.0</c:formatCode>
                <c:ptCount val="21"/>
                <c:pt idx="0">
                  <c:v>17.750923480000001</c:v>
                </c:pt>
                <c:pt idx="1">
                  <c:v>18.87093587</c:v>
                </c:pt>
                <c:pt idx="2" formatCode="0.0">
                  <c:v>21.123870810645162</c:v>
                </c:pt>
                <c:pt idx="3">
                  <c:v>27.929316039999996</c:v>
                </c:pt>
                <c:pt idx="4">
                  <c:v>32.031524290000007</c:v>
                </c:pt>
                <c:pt idx="5">
                  <c:v>34.771232829999995</c:v>
                </c:pt>
                <c:pt idx="6">
                  <c:v>36.58918371</c:v>
                </c:pt>
                <c:pt idx="7">
                  <c:v>36.669674950000001</c:v>
                </c:pt>
                <c:pt idx="8">
                  <c:v>38.389435619999993</c:v>
                </c:pt>
                <c:pt idx="9">
                  <c:v>39.402305239999997</c:v>
                </c:pt>
                <c:pt idx="10">
                  <c:v>42.13</c:v>
                </c:pt>
                <c:pt idx="11">
                  <c:v>42.84490709</c:v>
                </c:pt>
                <c:pt idx="12">
                  <c:v>43.932354570000008</c:v>
                </c:pt>
                <c:pt idx="13">
                  <c:v>44.192397560000003</c:v>
                </c:pt>
                <c:pt idx="14">
                  <c:v>45.135773310000005</c:v>
                </c:pt>
                <c:pt idx="15">
                  <c:v>46.215469089999999</c:v>
                </c:pt>
                <c:pt idx="16">
                  <c:v>49.93165101000001</c:v>
                </c:pt>
                <c:pt idx="17">
                  <c:v>53.513338619999992</c:v>
                </c:pt>
                <c:pt idx="18">
                  <c:v>58.579300649999979</c:v>
                </c:pt>
                <c:pt idx="19">
                  <c:v>61.694583360000003</c:v>
                </c:pt>
                <c:pt idx="20">
                  <c:v>72.082138549999996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788571984"/>
        <c:axId val="1788569808"/>
      </c:barChart>
      <c:catAx>
        <c:axId val="17885719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788569808"/>
        <c:crosses val="autoZero"/>
        <c:auto val="1"/>
        <c:lblAlgn val="ctr"/>
        <c:lblOffset val="100"/>
        <c:noMultiLvlLbl val="0"/>
      </c:catAx>
      <c:valAx>
        <c:axId val="17885698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OOPs as % of total spending on health</a:t>
                </a:r>
              </a:p>
            </c:rich>
          </c:tx>
          <c:layout>
            <c:manualLayout>
              <c:xMode val="edge"/>
              <c:yMode val="edge"/>
              <c:x val="6.4802823270537005E-3"/>
              <c:y val="3.2498684765453457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noFill/>
          </a:ln>
        </c:spPr>
        <c:crossAx val="1788571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15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2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</c:spPr>
          </c:dPt>
          <c:dLbls>
            <c:delete val="1"/>
          </c:dLbls>
          <c:cat>
            <c:strRef>
              <c:f>'GEO MICs only'!$A$2:$A$41</c:f>
              <c:strCache>
                <c:ptCount val="23"/>
                <c:pt idx="0">
                  <c:v>Georgia</c:v>
                </c:pt>
                <c:pt idx="1">
                  <c:v>Tajikistan</c:v>
                </c:pt>
                <c:pt idx="2">
                  <c:v>Armenia</c:v>
                </c:pt>
                <c:pt idx="3">
                  <c:v>LMIC average</c:v>
                </c:pt>
                <c:pt idx="4">
                  <c:v>Uzbekistan</c:v>
                </c:pt>
                <c:pt idx="5">
                  <c:v>Ukraine</c:v>
                </c:pt>
                <c:pt idx="6">
                  <c:v>Kyrgyzstan</c:v>
                </c:pt>
                <c:pt idx="7">
                  <c:v>Rep Moldova</c:v>
                </c:pt>
                <c:pt idx="9">
                  <c:v>Azerbaijan</c:v>
                </c:pt>
                <c:pt idx="10">
                  <c:v>Turkmenistan</c:v>
                </c:pt>
                <c:pt idx="11">
                  <c:v>Albania</c:v>
                </c:pt>
                <c:pt idx="12">
                  <c:v>Montenegro</c:v>
                </c:pt>
                <c:pt idx="13">
                  <c:v>Turkey</c:v>
                </c:pt>
                <c:pt idx="14">
                  <c:v>Kazakhstan</c:v>
                </c:pt>
                <c:pt idx="15">
                  <c:v>UMIC average</c:v>
                </c:pt>
                <c:pt idx="16">
                  <c:v>Romania</c:v>
                </c:pt>
                <c:pt idx="17">
                  <c:v>TFYRM</c:v>
                </c:pt>
                <c:pt idx="18">
                  <c:v>Belarus</c:v>
                </c:pt>
                <c:pt idx="19">
                  <c:v>Serbia</c:v>
                </c:pt>
                <c:pt idx="20">
                  <c:v>Bosnia &amp; Herz</c:v>
                </c:pt>
                <c:pt idx="22">
                  <c:v>HIC average</c:v>
                </c:pt>
              </c:strCache>
            </c:strRef>
          </c:cat>
          <c:val>
            <c:numRef>
              <c:f>'GEO MICs only'!$B$2:$B$41</c:f>
              <c:numCache>
                <c:formatCode>#,##0.0</c:formatCode>
                <c:ptCount val="23"/>
                <c:pt idx="0">
                  <c:v>5.0048490700000006</c:v>
                </c:pt>
                <c:pt idx="1">
                  <c:v>6.8360245699999993</c:v>
                </c:pt>
                <c:pt idx="2">
                  <c:v>7.0446196800000012</c:v>
                </c:pt>
                <c:pt idx="3">
                  <c:v>9.4</c:v>
                </c:pt>
                <c:pt idx="4">
                  <c:v>10.737734690000002</c:v>
                </c:pt>
                <c:pt idx="5">
                  <c:v>10.797801489999999</c:v>
                </c:pt>
                <c:pt idx="6">
                  <c:v>11.91937948</c:v>
                </c:pt>
                <c:pt idx="7">
                  <c:v>13.31891989</c:v>
                </c:pt>
                <c:pt idx="9">
                  <c:v>3.8825605599999999</c:v>
                </c:pt>
                <c:pt idx="10">
                  <c:v>8.6813084999999983</c:v>
                </c:pt>
                <c:pt idx="11">
                  <c:v>9.3690045199999989</c:v>
                </c:pt>
                <c:pt idx="12">
                  <c:v>9.8426614499999996</c:v>
                </c:pt>
                <c:pt idx="13">
                  <c:v>10.501174169999999</c:v>
                </c:pt>
                <c:pt idx="14">
                  <c:v>10.902370040000001</c:v>
                </c:pt>
                <c:pt idx="15">
                  <c:v>11</c:v>
                </c:pt>
                <c:pt idx="16">
                  <c:v>12.83710733</c:v>
                </c:pt>
                <c:pt idx="17">
                  <c:v>12.888536949999997</c:v>
                </c:pt>
                <c:pt idx="18">
                  <c:v>13.794623919999998</c:v>
                </c:pt>
                <c:pt idx="19">
                  <c:v>13.8617636</c:v>
                </c:pt>
                <c:pt idx="20">
                  <c:v>14.105853569999997</c:v>
                </c:pt>
                <c:pt idx="22">
                  <c:v>14.2</c:v>
                </c:pt>
              </c:numCache>
            </c:numRef>
          </c:val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788568176"/>
        <c:axId val="1788568720"/>
      </c:barChart>
      <c:catAx>
        <c:axId val="1788568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788568720"/>
        <c:crosses val="autoZero"/>
        <c:auto val="1"/>
        <c:lblAlgn val="ctr"/>
        <c:lblOffset val="100"/>
        <c:noMultiLvlLbl val="0"/>
      </c:catAx>
      <c:valAx>
        <c:axId val="17885687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% total public spending</a:t>
                </a:r>
              </a:p>
            </c:rich>
          </c:tx>
          <c:layout>
            <c:manualLayout>
              <c:xMode val="edge"/>
              <c:yMode val="edge"/>
              <c:x val="7.5728544589119965E-3"/>
              <c:y val="6.7869568003377276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noFill/>
          </a:ln>
        </c:spPr>
        <c:crossAx val="1788568176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4678-5C40-4147-954E-25C7F539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Nino Berdzuli</cp:lastModifiedBy>
  <cp:revision>4</cp:revision>
  <dcterms:created xsi:type="dcterms:W3CDTF">2016-07-19T12:34:00Z</dcterms:created>
  <dcterms:modified xsi:type="dcterms:W3CDTF">2016-07-19T12:45:00Z</dcterms:modified>
</cp:coreProperties>
</file>